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11E" w:rsidRPr="00033AFC" w:rsidRDefault="00ED4B94" w:rsidP="00033AFC">
      <w:pPr>
        <w:pStyle w:val="Title"/>
      </w:pPr>
      <w:r w:rsidRPr="00033AFC">
        <w:t xml:space="preserve">Policy </w:t>
      </w:r>
      <w:r w:rsidR="005672EE">
        <w:t xml:space="preserve">Language </w:t>
      </w:r>
      <w:bookmarkStart w:id="0" w:name="_GoBack"/>
      <w:bookmarkEnd w:id="0"/>
      <w:r w:rsidR="00A40C67" w:rsidRPr="00033AFC">
        <w:t>Usage</w:t>
      </w:r>
      <w:r w:rsidR="008C1848" w:rsidRPr="00033AFC">
        <w:t xml:space="preserve"> Tips</w:t>
      </w:r>
    </w:p>
    <w:p w:rsidR="00114B4C" w:rsidRPr="00114B4C" w:rsidRDefault="00114B4C" w:rsidP="00114B4C"/>
    <w:p w:rsidR="00A40C67" w:rsidRPr="00454DB2" w:rsidRDefault="00663D4D" w:rsidP="006C40C2">
      <w:pPr>
        <w:spacing w:before="240"/>
        <w:rPr>
          <w:color w:val="auto"/>
        </w:rPr>
      </w:pPr>
      <w:r w:rsidRPr="00454DB2">
        <w:rPr>
          <w:color w:val="auto"/>
        </w:rPr>
        <w:t>Experience has shown that the following are some of the mo</w:t>
      </w:r>
      <w:r w:rsidR="00866F4D" w:rsidRPr="00454DB2">
        <w:rPr>
          <w:color w:val="auto"/>
        </w:rPr>
        <w:t>re</w:t>
      </w:r>
      <w:r w:rsidRPr="00454DB2">
        <w:rPr>
          <w:color w:val="auto"/>
        </w:rPr>
        <w:t xml:space="preserve"> common causes of ambiguity and misunderstanding</w:t>
      </w:r>
      <w:r w:rsidR="00E9069B" w:rsidRPr="00454DB2">
        <w:rPr>
          <w:color w:val="auto"/>
        </w:rPr>
        <w:t xml:space="preserve"> in policies</w:t>
      </w:r>
      <w:r w:rsidRPr="00454DB2">
        <w:rPr>
          <w:color w:val="auto"/>
        </w:rPr>
        <w:t>.</w:t>
      </w:r>
    </w:p>
    <w:p w:rsidR="00663D4D" w:rsidRPr="00454DB2" w:rsidRDefault="00663D4D" w:rsidP="006C40C2">
      <w:pPr>
        <w:spacing w:after="0" w:line="248" w:lineRule="auto"/>
        <w:ind w:left="360"/>
        <w:rPr>
          <w:color w:val="auto"/>
        </w:rPr>
      </w:pPr>
      <w:r w:rsidRPr="00454DB2">
        <w:rPr>
          <w:rFonts w:eastAsia="Times New Roman" w:cs="Times New Roman"/>
          <w:b/>
          <w:color w:val="auto"/>
        </w:rPr>
        <w:t>“Affect”</w:t>
      </w:r>
      <w:r w:rsidRPr="00454DB2">
        <w:rPr>
          <w:color w:val="auto"/>
        </w:rPr>
        <w:t xml:space="preserve"> and </w:t>
      </w:r>
      <w:r w:rsidRPr="00454DB2">
        <w:rPr>
          <w:rFonts w:eastAsia="Times New Roman" w:cs="Times New Roman"/>
          <w:b/>
          <w:color w:val="auto"/>
        </w:rPr>
        <w:t xml:space="preserve">“effect” </w:t>
      </w:r>
      <w:r w:rsidR="006C40C2" w:rsidRPr="00454DB2">
        <w:rPr>
          <w:rFonts w:eastAsia="Times New Roman" w:cs="Times New Roman"/>
          <w:b/>
          <w:color w:val="auto"/>
        </w:rPr>
        <w:t xml:space="preserve">– </w:t>
      </w:r>
      <w:r w:rsidR="006C40C2" w:rsidRPr="00454DB2">
        <w:rPr>
          <w:rFonts w:eastAsia="Times New Roman" w:cs="Times New Roman"/>
          <w:color w:val="auto"/>
        </w:rPr>
        <w:t>These words</w:t>
      </w:r>
      <w:r w:rsidR="006C40C2" w:rsidRPr="00454DB2">
        <w:rPr>
          <w:rFonts w:eastAsia="Times New Roman" w:cs="Times New Roman"/>
          <w:b/>
          <w:color w:val="auto"/>
        </w:rPr>
        <w:t xml:space="preserve"> </w:t>
      </w:r>
      <w:r w:rsidR="009701AA" w:rsidRPr="00454DB2">
        <w:rPr>
          <w:color w:val="auto"/>
        </w:rPr>
        <w:t xml:space="preserve">have nothing in common. </w:t>
      </w:r>
      <w:r w:rsidR="006C40C2" w:rsidRPr="00454DB2">
        <w:rPr>
          <w:color w:val="auto"/>
        </w:rPr>
        <w:t xml:space="preserve">When used as </w:t>
      </w:r>
      <w:r w:rsidRPr="00454DB2">
        <w:rPr>
          <w:color w:val="auto"/>
        </w:rPr>
        <w:t xml:space="preserve">a verb, </w:t>
      </w:r>
      <w:r w:rsidRPr="00454DB2">
        <w:rPr>
          <w:rFonts w:eastAsia="Times New Roman" w:cs="Times New Roman"/>
          <w:b/>
          <w:color w:val="auto"/>
        </w:rPr>
        <w:t xml:space="preserve">“affect” </w:t>
      </w:r>
      <w:r w:rsidRPr="00454DB2">
        <w:rPr>
          <w:color w:val="auto"/>
        </w:rPr>
        <w:t xml:space="preserve">means “to influence” (as in: </w:t>
      </w:r>
      <w:r w:rsidRPr="00454DB2">
        <w:rPr>
          <w:rFonts w:eastAsia="Times New Roman" w:cs="Times New Roman"/>
          <w:i/>
          <w:color w:val="auto"/>
        </w:rPr>
        <w:t xml:space="preserve">how smoking will affect health) </w:t>
      </w:r>
      <w:r w:rsidRPr="00454DB2">
        <w:rPr>
          <w:color w:val="auto"/>
        </w:rPr>
        <w:t xml:space="preserve">and </w:t>
      </w:r>
      <w:r w:rsidRPr="00454DB2">
        <w:rPr>
          <w:rFonts w:eastAsia="Times New Roman" w:cs="Times New Roman"/>
          <w:b/>
          <w:color w:val="auto"/>
        </w:rPr>
        <w:t xml:space="preserve">“effect” </w:t>
      </w:r>
      <w:r w:rsidRPr="00454DB2">
        <w:rPr>
          <w:color w:val="auto"/>
        </w:rPr>
        <w:t>means “to brin</w:t>
      </w:r>
      <w:r w:rsidR="009701AA" w:rsidRPr="00454DB2">
        <w:rPr>
          <w:color w:val="auto"/>
        </w:rPr>
        <w:t xml:space="preserve">g about” or “to cause” (as in: </w:t>
      </w:r>
      <w:r w:rsidRPr="00454DB2">
        <w:rPr>
          <w:rFonts w:eastAsia="Times New Roman" w:cs="Times New Roman"/>
          <w:i/>
          <w:color w:val="auto"/>
        </w:rPr>
        <w:t xml:space="preserve">budget measures designed to effect savings). </w:t>
      </w:r>
      <w:r w:rsidRPr="00454DB2">
        <w:rPr>
          <w:color w:val="auto"/>
        </w:rPr>
        <w:t xml:space="preserve">As a noun, </w:t>
      </w:r>
      <w:r w:rsidRPr="00454DB2">
        <w:rPr>
          <w:rFonts w:eastAsia="Times New Roman" w:cs="Times New Roman"/>
          <w:b/>
          <w:color w:val="auto"/>
        </w:rPr>
        <w:t xml:space="preserve">“affect” </w:t>
      </w:r>
      <w:r w:rsidR="006C40C2" w:rsidRPr="00454DB2">
        <w:rPr>
          <w:color w:val="auto"/>
        </w:rPr>
        <w:t>refers to feelings or emotion</w:t>
      </w:r>
      <w:r w:rsidRPr="00454DB2">
        <w:rPr>
          <w:color w:val="auto"/>
        </w:rPr>
        <w:t xml:space="preserve"> and </w:t>
      </w:r>
      <w:r w:rsidRPr="00454DB2">
        <w:rPr>
          <w:rFonts w:eastAsia="Times New Roman" w:cs="Times New Roman"/>
          <w:b/>
          <w:color w:val="auto"/>
        </w:rPr>
        <w:t xml:space="preserve">“effect” </w:t>
      </w:r>
      <w:r w:rsidRPr="00454DB2">
        <w:rPr>
          <w:color w:val="auto"/>
        </w:rPr>
        <w:t>is the result of some cause (</w:t>
      </w:r>
      <w:r w:rsidRPr="00454DB2">
        <w:rPr>
          <w:rFonts w:eastAsia="Times New Roman" w:cs="Times New Roman"/>
          <w:i/>
          <w:color w:val="auto"/>
        </w:rPr>
        <w:t>the effect of too much exposure to the sun may be skin cancer).</w:t>
      </w:r>
    </w:p>
    <w:p w:rsidR="006C40C2" w:rsidRPr="00454DB2" w:rsidRDefault="006C40C2" w:rsidP="006C40C2">
      <w:pPr>
        <w:spacing w:after="0" w:line="248" w:lineRule="auto"/>
        <w:ind w:left="360"/>
        <w:rPr>
          <w:color w:val="auto"/>
        </w:rPr>
      </w:pPr>
    </w:p>
    <w:p w:rsidR="00663D4D" w:rsidRPr="00454DB2" w:rsidRDefault="00663D4D" w:rsidP="006C40C2">
      <w:pPr>
        <w:spacing w:after="0" w:line="248" w:lineRule="auto"/>
        <w:ind w:left="360"/>
        <w:rPr>
          <w:color w:val="auto"/>
        </w:rPr>
      </w:pPr>
      <w:r w:rsidRPr="00454DB2">
        <w:rPr>
          <w:rFonts w:eastAsia="Times New Roman" w:cs="Times New Roman"/>
          <w:b/>
          <w:color w:val="auto"/>
        </w:rPr>
        <w:t xml:space="preserve">“Assure/ensure/insure” </w:t>
      </w:r>
      <w:r w:rsidR="00E9069B" w:rsidRPr="00454DB2">
        <w:rPr>
          <w:rFonts w:eastAsia="Times New Roman" w:cs="Times New Roman"/>
          <w:color w:val="auto"/>
        </w:rPr>
        <w:t>–</w:t>
      </w:r>
      <w:r w:rsidR="009701AA" w:rsidRPr="00454DB2">
        <w:rPr>
          <w:rFonts w:eastAsia="Times New Roman" w:cs="Times New Roman"/>
          <w:color w:val="auto"/>
        </w:rPr>
        <w:t xml:space="preserve"> </w:t>
      </w:r>
      <w:r w:rsidR="00E9069B" w:rsidRPr="00454DB2">
        <w:rPr>
          <w:rFonts w:eastAsia="Times New Roman" w:cs="Times New Roman"/>
          <w:color w:val="auto"/>
        </w:rPr>
        <w:t xml:space="preserve">These </w:t>
      </w:r>
      <w:r w:rsidRPr="00454DB2">
        <w:rPr>
          <w:color w:val="auto"/>
        </w:rPr>
        <w:t>all mean “to make secure or certain</w:t>
      </w:r>
      <w:r w:rsidR="006C40C2" w:rsidRPr="00454DB2">
        <w:rPr>
          <w:color w:val="auto"/>
        </w:rPr>
        <w:t>,</w:t>
      </w:r>
      <w:r w:rsidRPr="00454DB2">
        <w:rPr>
          <w:color w:val="auto"/>
        </w:rPr>
        <w:t xml:space="preserve">” </w:t>
      </w:r>
      <w:r w:rsidR="006C40C2" w:rsidRPr="00454DB2">
        <w:rPr>
          <w:color w:val="auto"/>
        </w:rPr>
        <w:t xml:space="preserve">but </w:t>
      </w:r>
      <w:r w:rsidRPr="00454DB2">
        <w:rPr>
          <w:rFonts w:eastAsia="Times New Roman" w:cs="Times New Roman"/>
          <w:b/>
          <w:color w:val="auto"/>
        </w:rPr>
        <w:t xml:space="preserve">“assure” </w:t>
      </w:r>
      <w:r w:rsidRPr="00454DB2">
        <w:rPr>
          <w:color w:val="auto"/>
        </w:rPr>
        <w:t xml:space="preserve">is </w:t>
      </w:r>
      <w:r w:rsidR="00E9069B" w:rsidRPr="00454DB2">
        <w:rPr>
          <w:color w:val="auto"/>
        </w:rPr>
        <w:t xml:space="preserve">used </w:t>
      </w:r>
      <w:r w:rsidR="006C40C2" w:rsidRPr="00454DB2">
        <w:rPr>
          <w:color w:val="auto"/>
        </w:rPr>
        <w:t xml:space="preserve">only </w:t>
      </w:r>
      <w:r w:rsidR="00E9069B" w:rsidRPr="00454DB2">
        <w:rPr>
          <w:color w:val="auto"/>
        </w:rPr>
        <w:t>in the sense of</w:t>
      </w:r>
      <w:r w:rsidRPr="00454DB2">
        <w:rPr>
          <w:color w:val="auto"/>
        </w:rPr>
        <w:t xml:space="preserve"> “to set the mind at rest</w:t>
      </w:r>
      <w:r w:rsidR="00E9069B" w:rsidRPr="00454DB2">
        <w:rPr>
          <w:color w:val="auto"/>
        </w:rPr>
        <w:t>,</w:t>
      </w:r>
      <w:r w:rsidRPr="00454DB2">
        <w:rPr>
          <w:color w:val="auto"/>
        </w:rPr>
        <w:t>” as in:</w:t>
      </w:r>
      <w:r w:rsidR="007B7DF6" w:rsidRPr="00454DB2">
        <w:rPr>
          <w:color w:val="auto"/>
        </w:rPr>
        <w:t xml:space="preserve"> </w:t>
      </w:r>
      <w:r w:rsidRPr="00454DB2">
        <w:rPr>
          <w:rFonts w:eastAsia="Times New Roman" w:cs="Times New Roman"/>
          <w:i/>
          <w:color w:val="auto"/>
        </w:rPr>
        <w:t>I assured the boss of my loyalty.</w:t>
      </w:r>
      <w:r w:rsidR="007B7DF6" w:rsidRPr="00454DB2">
        <w:rPr>
          <w:rFonts w:eastAsia="Times New Roman" w:cs="Times New Roman"/>
          <w:i/>
          <w:color w:val="auto"/>
        </w:rPr>
        <w:t xml:space="preserve"> </w:t>
      </w:r>
      <w:r w:rsidRPr="00454DB2">
        <w:rPr>
          <w:color w:val="auto"/>
        </w:rPr>
        <w:t xml:space="preserve">Although </w:t>
      </w:r>
      <w:r w:rsidRPr="00454DB2">
        <w:rPr>
          <w:rFonts w:eastAsia="Times New Roman" w:cs="Times New Roman"/>
          <w:b/>
          <w:color w:val="auto"/>
        </w:rPr>
        <w:t xml:space="preserve">“ensure” </w:t>
      </w:r>
      <w:r w:rsidRPr="00454DB2">
        <w:rPr>
          <w:color w:val="auto"/>
        </w:rPr>
        <w:t xml:space="preserve">and </w:t>
      </w:r>
      <w:r w:rsidRPr="00454DB2">
        <w:rPr>
          <w:rFonts w:eastAsia="Times New Roman" w:cs="Times New Roman"/>
          <w:b/>
          <w:color w:val="auto"/>
        </w:rPr>
        <w:t xml:space="preserve">“insure” </w:t>
      </w:r>
      <w:r w:rsidRPr="00454DB2">
        <w:rPr>
          <w:color w:val="auto"/>
        </w:rPr>
        <w:t xml:space="preserve">are generally interchangeable, </w:t>
      </w:r>
      <w:r w:rsidRPr="00454DB2">
        <w:rPr>
          <w:rFonts w:eastAsia="Times New Roman" w:cs="Times New Roman"/>
          <w:b/>
          <w:color w:val="auto"/>
        </w:rPr>
        <w:t xml:space="preserve">“insure” </w:t>
      </w:r>
      <w:r w:rsidRPr="00454DB2">
        <w:rPr>
          <w:color w:val="auto"/>
        </w:rPr>
        <w:t>is the only correct choice when speaking of guaranteeing something financially against risk:</w:t>
      </w:r>
      <w:r w:rsidR="007B7DF6" w:rsidRPr="00454DB2">
        <w:rPr>
          <w:color w:val="auto"/>
        </w:rPr>
        <w:t xml:space="preserve"> </w:t>
      </w:r>
      <w:r w:rsidRPr="00454DB2">
        <w:rPr>
          <w:rFonts w:eastAsia="Times New Roman" w:cs="Times New Roman"/>
          <w:i/>
          <w:color w:val="auto"/>
        </w:rPr>
        <w:t xml:space="preserve">I want to insure my home against flood damage. </w:t>
      </w:r>
      <w:r w:rsidRPr="00454DB2">
        <w:rPr>
          <w:rFonts w:eastAsia="Times New Roman" w:cs="Times New Roman"/>
          <w:b/>
          <w:color w:val="auto"/>
        </w:rPr>
        <w:t xml:space="preserve">“Ensure” </w:t>
      </w:r>
      <w:r w:rsidRPr="00454DB2">
        <w:rPr>
          <w:color w:val="auto"/>
        </w:rPr>
        <w:t xml:space="preserve">is </w:t>
      </w:r>
      <w:r w:rsidR="00E9069B" w:rsidRPr="00454DB2">
        <w:rPr>
          <w:color w:val="auto"/>
        </w:rPr>
        <w:t xml:space="preserve">the term used </w:t>
      </w:r>
      <w:r w:rsidRPr="00454DB2">
        <w:rPr>
          <w:color w:val="auto"/>
        </w:rPr>
        <w:t>most commonly in policies</w:t>
      </w:r>
      <w:r w:rsidR="00E9069B" w:rsidRPr="00454DB2">
        <w:rPr>
          <w:color w:val="auto"/>
        </w:rPr>
        <w:t xml:space="preserve">, as in: </w:t>
      </w:r>
      <w:r w:rsidR="00E9069B" w:rsidRPr="00454DB2">
        <w:rPr>
          <w:rFonts w:eastAsia="Times New Roman" w:cs="Times New Roman"/>
          <w:i/>
          <w:color w:val="auto"/>
        </w:rPr>
        <w:t>Use the read-</w:t>
      </w:r>
      <w:r w:rsidRPr="00454DB2">
        <w:rPr>
          <w:rFonts w:eastAsia="Times New Roman" w:cs="Times New Roman"/>
          <w:i/>
          <w:color w:val="auto"/>
        </w:rPr>
        <w:t>back process to ensure that you heard the physician correctly</w:t>
      </w:r>
      <w:r w:rsidR="003A7269" w:rsidRPr="00454DB2">
        <w:rPr>
          <w:rFonts w:eastAsia="Times New Roman" w:cs="Times New Roman"/>
          <w:i/>
          <w:color w:val="auto"/>
        </w:rPr>
        <w:t>.</w:t>
      </w:r>
    </w:p>
    <w:p w:rsidR="006C40C2" w:rsidRPr="00454DB2" w:rsidRDefault="006C40C2" w:rsidP="006C40C2">
      <w:pPr>
        <w:spacing w:after="0" w:line="248" w:lineRule="auto"/>
        <w:ind w:left="360"/>
        <w:rPr>
          <w:color w:val="auto"/>
        </w:rPr>
      </w:pPr>
    </w:p>
    <w:p w:rsidR="00663D4D" w:rsidRPr="00454DB2" w:rsidRDefault="00663D4D" w:rsidP="006C40C2">
      <w:pPr>
        <w:spacing w:after="0" w:line="248" w:lineRule="auto"/>
        <w:ind w:left="360"/>
        <w:rPr>
          <w:color w:val="auto"/>
        </w:rPr>
      </w:pPr>
      <w:r w:rsidRPr="00454DB2">
        <w:rPr>
          <w:rFonts w:eastAsia="Times New Roman" w:cs="Times New Roman"/>
          <w:b/>
          <w:color w:val="auto"/>
        </w:rPr>
        <w:t xml:space="preserve">“Can” </w:t>
      </w:r>
      <w:r w:rsidR="00E9069B" w:rsidRPr="00454DB2">
        <w:rPr>
          <w:rFonts w:eastAsia="Times New Roman" w:cs="Times New Roman"/>
          <w:color w:val="auto"/>
        </w:rPr>
        <w:t xml:space="preserve">– This </w:t>
      </w:r>
      <w:r w:rsidRPr="00454DB2">
        <w:rPr>
          <w:color w:val="auto"/>
        </w:rPr>
        <w:t xml:space="preserve">is not synonymous with </w:t>
      </w:r>
      <w:r w:rsidRPr="00454DB2">
        <w:rPr>
          <w:rFonts w:eastAsia="Times New Roman" w:cs="Times New Roman"/>
          <w:b/>
          <w:color w:val="auto"/>
        </w:rPr>
        <w:t>“may”</w:t>
      </w:r>
      <w:r w:rsidRPr="00454DB2">
        <w:rPr>
          <w:color w:val="auto"/>
        </w:rPr>
        <w:t xml:space="preserve"> although it is often misused as though it were. </w:t>
      </w:r>
      <w:r w:rsidRPr="00454DB2">
        <w:rPr>
          <w:rFonts w:eastAsia="Times New Roman" w:cs="Times New Roman"/>
          <w:b/>
          <w:color w:val="auto"/>
        </w:rPr>
        <w:t xml:space="preserve">“Can” </w:t>
      </w:r>
      <w:r w:rsidRPr="00454DB2">
        <w:rPr>
          <w:color w:val="auto"/>
        </w:rPr>
        <w:t>indicates physical or mental ability rather than permission.</w:t>
      </w:r>
      <w:r w:rsidR="007B7DF6" w:rsidRPr="00454DB2">
        <w:rPr>
          <w:color w:val="auto"/>
        </w:rPr>
        <w:t xml:space="preserve"> </w:t>
      </w:r>
      <w:r w:rsidRPr="00454DB2">
        <w:rPr>
          <w:color w:val="auto"/>
        </w:rPr>
        <w:t xml:space="preserve">For example: </w:t>
      </w:r>
      <w:r w:rsidRPr="00454DB2">
        <w:rPr>
          <w:rFonts w:eastAsia="Times New Roman" w:cs="Times New Roman"/>
          <w:i/>
          <w:color w:val="auto"/>
        </w:rPr>
        <w:t>You can lift heavy objects by bending at the waist and using the back muscles.</w:t>
      </w:r>
      <w:r w:rsidR="005C513D" w:rsidRPr="00454DB2">
        <w:rPr>
          <w:rFonts w:eastAsia="Times New Roman" w:cs="Times New Roman"/>
          <w:color w:val="auto"/>
        </w:rPr>
        <w:t xml:space="preserve"> </w:t>
      </w:r>
      <w:r w:rsidRPr="00454DB2">
        <w:rPr>
          <w:color w:val="auto"/>
        </w:rPr>
        <w:t>While this statement is true, it would not be permitted in a well</w:t>
      </w:r>
      <w:r w:rsidR="005C513D" w:rsidRPr="00454DB2">
        <w:rPr>
          <w:color w:val="auto"/>
        </w:rPr>
        <w:t>-</w:t>
      </w:r>
      <w:r w:rsidRPr="00454DB2">
        <w:rPr>
          <w:color w:val="auto"/>
        </w:rPr>
        <w:t>written policy because it might be construed as giving permission t</w:t>
      </w:r>
      <w:r w:rsidR="003A7269" w:rsidRPr="00454DB2">
        <w:rPr>
          <w:color w:val="auto"/>
        </w:rPr>
        <w:t>o lift in this unsafe manner.</w:t>
      </w:r>
    </w:p>
    <w:p w:rsidR="006C40C2" w:rsidRPr="00454DB2" w:rsidRDefault="006C40C2" w:rsidP="006C40C2">
      <w:pPr>
        <w:spacing w:after="0" w:line="248" w:lineRule="auto"/>
        <w:ind w:left="360"/>
        <w:rPr>
          <w:color w:val="auto"/>
        </w:rPr>
      </w:pPr>
    </w:p>
    <w:p w:rsidR="003A386A" w:rsidRPr="00454DB2" w:rsidRDefault="003A386A" w:rsidP="006C40C2">
      <w:pPr>
        <w:spacing w:after="0" w:line="248" w:lineRule="auto"/>
        <w:ind w:left="360"/>
        <w:rPr>
          <w:color w:val="auto"/>
        </w:rPr>
      </w:pPr>
      <w:r w:rsidRPr="00454DB2">
        <w:rPr>
          <w:rFonts w:eastAsia="Times New Roman" w:cs="Times New Roman"/>
          <w:b/>
          <w:color w:val="auto"/>
        </w:rPr>
        <w:t xml:space="preserve">“E.g.” </w:t>
      </w:r>
      <w:r w:rsidRPr="00454DB2">
        <w:rPr>
          <w:color w:val="auto"/>
        </w:rPr>
        <w:t xml:space="preserve">and </w:t>
      </w:r>
      <w:r w:rsidRPr="00454DB2">
        <w:rPr>
          <w:rFonts w:eastAsia="Times New Roman" w:cs="Times New Roman"/>
          <w:b/>
          <w:color w:val="auto"/>
        </w:rPr>
        <w:t>“i.e.”</w:t>
      </w:r>
      <w:r w:rsidRPr="00454DB2">
        <w:rPr>
          <w:color w:val="auto"/>
        </w:rPr>
        <w:t xml:space="preserve"> – These are often confused. </w:t>
      </w:r>
      <w:r w:rsidRPr="00454DB2">
        <w:rPr>
          <w:rFonts w:eastAsia="Times New Roman" w:cs="Times New Roman"/>
          <w:b/>
          <w:color w:val="auto"/>
        </w:rPr>
        <w:t>“E.g.”</w:t>
      </w:r>
      <w:r w:rsidRPr="00454DB2">
        <w:rPr>
          <w:color w:val="auto"/>
        </w:rPr>
        <w:t xml:space="preserve"> means </w:t>
      </w:r>
      <w:r w:rsidRPr="00454DB2">
        <w:rPr>
          <w:rFonts w:eastAsia="Times New Roman" w:cs="Times New Roman"/>
          <w:i/>
          <w:color w:val="auto"/>
        </w:rPr>
        <w:t xml:space="preserve">for example. </w:t>
      </w:r>
      <w:r w:rsidRPr="00454DB2">
        <w:rPr>
          <w:rFonts w:eastAsia="Times New Roman" w:cs="Times New Roman"/>
          <w:b/>
          <w:color w:val="auto"/>
        </w:rPr>
        <w:t>“I.e.”</w:t>
      </w:r>
      <w:r w:rsidRPr="00454DB2">
        <w:rPr>
          <w:rFonts w:eastAsia="Times New Roman" w:cs="Times New Roman"/>
          <w:b/>
          <w:i/>
          <w:color w:val="auto"/>
        </w:rPr>
        <w:t xml:space="preserve"> </w:t>
      </w:r>
      <w:r w:rsidRPr="00454DB2">
        <w:rPr>
          <w:color w:val="auto"/>
        </w:rPr>
        <w:t xml:space="preserve">means </w:t>
      </w:r>
      <w:r w:rsidRPr="00454DB2">
        <w:rPr>
          <w:rFonts w:eastAsia="Times New Roman" w:cs="Times New Roman"/>
          <w:i/>
          <w:color w:val="auto"/>
        </w:rPr>
        <w:t>that is</w:t>
      </w:r>
      <w:r w:rsidR="003A7269" w:rsidRPr="00454DB2">
        <w:rPr>
          <w:rFonts w:eastAsia="Times New Roman" w:cs="Times New Roman"/>
          <w:i/>
          <w:color w:val="auto"/>
        </w:rPr>
        <w:t>.</w:t>
      </w:r>
    </w:p>
    <w:p w:rsidR="006C40C2" w:rsidRPr="00454DB2" w:rsidRDefault="006C40C2" w:rsidP="006C40C2">
      <w:pPr>
        <w:spacing w:after="0" w:line="248" w:lineRule="auto"/>
        <w:ind w:left="360"/>
        <w:rPr>
          <w:color w:val="auto"/>
        </w:rPr>
      </w:pPr>
    </w:p>
    <w:p w:rsidR="003A386A" w:rsidRPr="00454DB2" w:rsidRDefault="003A386A" w:rsidP="006C40C2">
      <w:pPr>
        <w:spacing w:after="0" w:line="248" w:lineRule="auto"/>
        <w:ind w:left="360"/>
        <w:rPr>
          <w:rFonts w:eastAsia="Times New Roman" w:cs="Times New Roman"/>
          <w:color w:val="auto"/>
        </w:rPr>
      </w:pPr>
      <w:r w:rsidRPr="00454DB2">
        <w:rPr>
          <w:rFonts w:eastAsia="Times New Roman" w:cs="Times New Roman"/>
          <w:b/>
          <w:color w:val="auto"/>
        </w:rPr>
        <w:t xml:space="preserve">“Guideline” – </w:t>
      </w:r>
      <w:r w:rsidRPr="00454DB2">
        <w:rPr>
          <w:rFonts w:eastAsia="Times New Roman" w:cs="Times New Roman"/>
          <w:color w:val="auto"/>
        </w:rPr>
        <w:t>Ambiguity abounds when this word is used</w:t>
      </w:r>
      <w:r w:rsidR="009E4897" w:rsidRPr="00454DB2">
        <w:rPr>
          <w:rFonts w:eastAsia="Times New Roman" w:cs="Times New Roman"/>
          <w:color w:val="auto"/>
        </w:rPr>
        <w:t xml:space="preserve"> in a policy</w:t>
      </w:r>
      <w:r w:rsidRPr="00454DB2">
        <w:rPr>
          <w:rFonts w:eastAsia="Times New Roman" w:cs="Times New Roman"/>
          <w:color w:val="auto"/>
        </w:rPr>
        <w:t xml:space="preserve">. </w:t>
      </w:r>
      <w:r w:rsidR="006C40C2" w:rsidRPr="00454DB2">
        <w:rPr>
          <w:rFonts w:eastAsia="Times New Roman" w:cs="Times New Roman"/>
          <w:color w:val="auto"/>
        </w:rPr>
        <w:t>Does it set</w:t>
      </w:r>
      <w:r w:rsidRPr="00454DB2">
        <w:rPr>
          <w:rFonts w:eastAsia="Times New Roman" w:cs="Times New Roman"/>
          <w:color w:val="auto"/>
        </w:rPr>
        <w:t xml:space="preserve"> forth a</w:t>
      </w:r>
      <w:r w:rsidR="006C40C2" w:rsidRPr="00454DB2">
        <w:rPr>
          <w:rFonts w:eastAsia="Times New Roman" w:cs="Times New Roman"/>
          <w:color w:val="auto"/>
        </w:rPr>
        <w:t>n absolute</w:t>
      </w:r>
      <w:r w:rsidRPr="00454DB2">
        <w:rPr>
          <w:rFonts w:eastAsia="Times New Roman" w:cs="Times New Roman"/>
          <w:color w:val="auto"/>
        </w:rPr>
        <w:t xml:space="preserve"> requirement or merely a suggestion? If the former, make </w:t>
      </w:r>
      <w:r w:rsidR="006C40C2" w:rsidRPr="00454DB2">
        <w:rPr>
          <w:rFonts w:eastAsia="Times New Roman" w:cs="Times New Roman"/>
          <w:color w:val="auto"/>
        </w:rPr>
        <w:t>it clear that compliance is mandatory.</w:t>
      </w:r>
    </w:p>
    <w:p w:rsidR="00D41695" w:rsidRPr="00454DB2" w:rsidRDefault="00D41695" w:rsidP="006C40C2">
      <w:pPr>
        <w:spacing w:after="0" w:line="248" w:lineRule="auto"/>
        <w:ind w:left="360"/>
        <w:rPr>
          <w:rFonts w:eastAsia="Times New Roman" w:cs="Times New Roman"/>
          <w:b/>
          <w:color w:val="auto"/>
        </w:rPr>
      </w:pPr>
    </w:p>
    <w:p w:rsidR="00D41695" w:rsidRPr="00454DB2" w:rsidRDefault="00D41695" w:rsidP="006C40C2">
      <w:pPr>
        <w:spacing w:after="0" w:line="248" w:lineRule="auto"/>
        <w:ind w:left="360"/>
        <w:rPr>
          <w:rFonts w:eastAsia="Times New Roman" w:cs="Times New Roman"/>
          <w:color w:val="auto"/>
        </w:rPr>
      </w:pPr>
      <w:r w:rsidRPr="00454DB2">
        <w:rPr>
          <w:rFonts w:eastAsia="Times New Roman" w:cs="Times New Roman"/>
          <w:b/>
          <w:color w:val="auto"/>
        </w:rPr>
        <w:t xml:space="preserve">“It’s” </w:t>
      </w:r>
      <w:r w:rsidRPr="00454DB2">
        <w:rPr>
          <w:rFonts w:eastAsia="Times New Roman" w:cs="Times New Roman"/>
          <w:color w:val="auto"/>
        </w:rPr>
        <w:t xml:space="preserve">and </w:t>
      </w:r>
      <w:r w:rsidRPr="00454DB2">
        <w:rPr>
          <w:rFonts w:eastAsia="Times New Roman" w:cs="Times New Roman"/>
          <w:b/>
          <w:color w:val="auto"/>
        </w:rPr>
        <w:t>“its”</w:t>
      </w:r>
      <w:r w:rsidRPr="00454DB2">
        <w:rPr>
          <w:rFonts w:eastAsia="Times New Roman" w:cs="Times New Roman"/>
          <w:color w:val="auto"/>
        </w:rPr>
        <w:t xml:space="preserve"> – The former means “it is.” The latter is possessive.</w:t>
      </w:r>
    </w:p>
    <w:p w:rsidR="006C40C2" w:rsidRPr="00454DB2" w:rsidRDefault="006C40C2" w:rsidP="006C40C2">
      <w:pPr>
        <w:spacing w:after="0" w:line="248" w:lineRule="auto"/>
        <w:ind w:left="360"/>
        <w:rPr>
          <w:rFonts w:eastAsia="Times New Roman" w:cs="Times New Roman"/>
          <w:b/>
          <w:color w:val="auto"/>
        </w:rPr>
      </w:pPr>
    </w:p>
    <w:p w:rsidR="003A386A" w:rsidRPr="00454DB2" w:rsidRDefault="003A386A" w:rsidP="006C40C2">
      <w:pPr>
        <w:spacing w:after="0" w:line="248" w:lineRule="auto"/>
        <w:ind w:left="360"/>
        <w:rPr>
          <w:color w:val="auto"/>
        </w:rPr>
      </w:pPr>
      <w:r w:rsidRPr="00454DB2">
        <w:rPr>
          <w:rFonts w:eastAsia="Times New Roman" w:cs="Times New Roman"/>
          <w:b/>
          <w:color w:val="auto"/>
        </w:rPr>
        <w:t xml:space="preserve">“May” </w:t>
      </w:r>
      <w:r w:rsidR="00E9069B" w:rsidRPr="00454DB2">
        <w:rPr>
          <w:color w:val="auto"/>
        </w:rPr>
        <w:t>– U</w:t>
      </w:r>
      <w:r w:rsidRPr="00454DB2">
        <w:rPr>
          <w:color w:val="auto"/>
        </w:rPr>
        <w:t xml:space="preserve">sed to indicate something </w:t>
      </w:r>
      <w:r w:rsidRPr="00454DB2">
        <w:rPr>
          <w:color w:val="auto"/>
          <w:u w:val="single" w:color="000000"/>
        </w:rPr>
        <w:t xml:space="preserve">allowed </w:t>
      </w:r>
      <w:r w:rsidRPr="00454DB2">
        <w:rPr>
          <w:color w:val="auto"/>
        </w:rPr>
        <w:t xml:space="preserve">or </w:t>
      </w:r>
      <w:r w:rsidRPr="00454DB2">
        <w:rPr>
          <w:color w:val="auto"/>
          <w:u w:val="single" w:color="000000"/>
        </w:rPr>
        <w:t>permitted</w:t>
      </w:r>
      <w:r w:rsidRPr="00454DB2">
        <w:rPr>
          <w:color w:val="auto"/>
        </w:rPr>
        <w:t xml:space="preserve"> but not required. For example:</w:t>
      </w:r>
      <w:r w:rsidR="007B7DF6" w:rsidRPr="00454DB2">
        <w:rPr>
          <w:color w:val="auto"/>
        </w:rPr>
        <w:t xml:space="preserve"> </w:t>
      </w:r>
    </w:p>
    <w:p w:rsidR="003A386A" w:rsidRPr="00454DB2" w:rsidRDefault="003A386A" w:rsidP="006C40C2">
      <w:pPr>
        <w:spacing w:after="0" w:line="243" w:lineRule="auto"/>
        <w:ind w:left="360"/>
        <w:rPr>
          <w:color w:val="auto"/>
        </w:rPr>
      </w:pPr>
      <w:r w:rsidRPr="00454DB2">
        <w:rPr>
          <w:rFonts w:eastAsia="Times New Roman" w:cs="Times New Roman"/>
          <w:i/>
          <w:color w:val="auto"/>
        </w:rPr>
        <w:t xml:space="preserve">Department heads may permit exceptions to the dress code on a case-by-case basis if necessary for work-related reasons. </w:t>
      </w:r>
      <w:r w:rsidRPr="00454DB2">
        <w:rPr>
          <w:rFonts w:eastAsia="Times New Roman" w:cs="Times New Roman"/>
          <w:b/>
          <w:color w:val="auto"/>
        </w:rPr>
        <w:t xml:space="preserve">“May” </w:t>
      </w:r>
      <w:r w:rsidRPr="00454DB2">
        <w:rPr>
          <w:color w:val="auto"/>
        </w:rPr>
        <w:t>must never be used in policies</w:t>
      </w:r>
      <w:r w:rsidR="009E4897" w:rsidRPr="00454DB2">
        <w:rPr>
          <w:color w:val="auto"/>
        </w:rPr>
        <w:t xml:space="preserve"> unless permission is meant</w:t>
      </w:r>
      <w:r w:rsidR="003A7269" w:rsidRPr="00454DB2">
        <w:rPr>
          <w:color w:val="auto"/>
        </w:rPr>
        <w:t>.</w:t>
      </w:r>
    </w:p>
    <w:p w:rsidR="006C40C2" w:rsidRPr="00454DB2" w:rsidRDefault="006C40C2" w:rsidP="006C40C2">
      <w:pPr>
        <w:spacing w:after="0" w:line="243" w:lineRule="auto"/>
        <w:ind w:left="360"/>
        <w:rPr>
          <w:color w:val="auto"/>
        </w:rPr>
      </w:pPr>
    </w:p>
    <w:p w:rsidR="003A386A" w:rsidRPr="00454DB2" w:rsidRDefault="003A386A" w:rsidP="006C40C2">
      <w:pPr>
        <w:spacing w:after="0" w:line="243" w:lineRule="auto"/>
        <w:ind w:left="360"/>
        <w:rPr>
          <w:color w:val="auto"/>
        </w:rPr>
      </w:pPr>
      <w:r w:rsidRPr="00454DB2">
        <w:rPr>
          <w:rFonts w:eastAsia="Times New Roman" w:cs="Times New Roman"/>
          <w:b/>
          <w:color w:val="auto"/>
        </w:rPr>
        <w:t xml:space="preserve">“Might” </w:t>
      </w:r>
      <w:r w:rsidR="00E9069B" w:rsidRPr="00454DB2">
        <w:rPr>
          <w:rFonts w:eastAsia="Times New Roman" w:cs="Times New Roman"/>
          <w:b/>
          <w:color w:val="auto"/>
        </w:rPr>
        <w:t xml:space="preserve">– </w:t>
      </w:r>
      <w:r w:rsidR="00E9069B" w:rsidRPr="00454DB2">
        <w:rPr>
          <w:rFonts w:eastAsia="Times New Roman" w:cs="Times New Roman"/>
          <w:color w:val="auto"/>
        </w:rPr>
        <w:t xml:space="preserve">This </w:t>
      </w:r>
      <w:r w:rsidRPr="00454DB2">
        <w:rPr>
          <w:color w:val="auto"/>
        </w:rPr>
        <w:t xml:space="preserve">indicates the </w:t>
      </w:r>
      <w:r w:rsidRPr="00454DB2">
        <w:rPr>
          <w:color w:val="auto"/>
          <w:u w:val="single"/>
        </w:rPr>
        <w:t>possibility</w:t>
      </w:r>
      <w:r w:rsidRPr="00454DB2">
        <w:rPr>
          <w:color w:val="auto"/>
        </w:rPr>
        <w:t xml:space="preserve"> of a future action or occu</w:t>
      </w:r>
      <w:r w:rsidR="000A11BD" w:rsidRPr="00454DB2">
        <w:rPr>
          <w:color w:val="auto"/>
        </w:rPr>
        <w:t xml:space="preserve">rrence. </w:t>
      </w:r>
      <w:r w:rsidRPr="00454DB2">
        <w:rPr>
          <w:rFonts w:eastAsia="Times New Roman" w:cs="Times New Roman"/>
          <w:i/>
          <w:color w:val="auto"/>
        </w:rPr>
        <w:t xml:space="preserve">Hurricanes might cause power outages or other service interruptions. </w:t>
      </w:r>
      <w:r w:rsidRPr="00454DB2">
        <w:rPr>
          <w:color w:val="auto"/>
        </w:rPr>
        <w:t xml:space="preserve">Do not use </w:t>
      </w:r>
      <w:r w:rsidRPr="00454DB2">
        <w:rPr>
          <w:rFonts w:eastAsia="Times New Roman" w:cs="Times New Roman"/>
          <w:b/>
          <w:color w:val="auto"/>
        </w:rPr>
        <w:t xml:space="preserve">“might” </w:t>
      </w:r>
      <w:r w:rsidR="009E4897" w:rsidRPr="00454DB2">
        <w:rPr>
          <w:color w:val="auto"/>
        </w:rPr>
        <w:t>unless that is the intention.</w:t>
      </w:r>
    </w:p>
    <w:p w:rsidR="006C40C2" w:rsidRPr="00454DB2" w:rsidRDefault="006C40C2" w:rsidP="006C40C2">
      <w:pPr>
        <w:spacing w:after="0" w:line="243" w:lineRule="auto"/>
        <w:ind w:left="360"/>
        <w:rPr>
          <w:color w:val="auto"/>
        </w:rPr>
      </w:pPr>
    </w:p>
    <w:p w:rsidR="003A386A" w:rsidRPr="00454DB2" w:rsidRDefault="003A386A" w:rsidP="006C40C2">
      <w:pPr>
        <w:spacing w:after="0" w:line="243" w:lineRule="auto"/>
        <w:ind w:left="360"/>
        <w:rPr>
          <w:color w:val="auto"/>
        </w:rPr>
      </w:pPr>
      <w:r w:rsidRPr="00454DB2">
        <w:rPr>
          <w:rFonts w:eastAsia="Times New Roman" w:cs="Times New Roman"/>
          <w:b/>
          <w:color w:val="auto"/>
        </w:rPr>
        <w:t xml:space="preserve">“Must” </w:t>
      </w:r>
      <w:r w:rsidRPr="00454DB2">
        <w:rPr>
          <w:color w:val="auto"/>
        </w:rPr>
        <w:t xml:space="preserve">and </w:t>
      </w:r>
      <w:r w:rsidRPr="00454DB2">
        <w:rPr>
          <w:rFonts w:eastAsia="Times New Roman" w:cs="Times New Roman"/>
          <w:b/>
          <w:color w:val="auto"/>
        </w:rPr>
        <w:t xml:space="preserve">“shall” </w:t>
      </w:r>
      <w:r w:rsidR="00E9069B" w:rsidRPr="00454DB2">
        <w:rPr>
          <w:rFonts w:eastAsia="Times New Roman" w:cs="Times New Roman"/>
          <w:b/>
          <w:color w:val="auto"/>
        </w:rPr>
        <w:t xml:space="preserve">– </w:t>
      </w:r>
      <w:r w:rsidR="00E9069B" w:rsidRPr="00454DB2">
        <w:rPr>
          <w:rFonts w:eastAsia="Times New Roman" w:cs="Times New Roman"/>
          <w:color w:val="auto"/>
        </w:rPr>
        <w:t xml:space="preserve">These </w:t>
      </w:r>
      <w:r w:rsidRPr="00454DB2">
        <w:rPr>
          <w:color w:val="auto"/>
        </w:rPr>
        <w:t>are used to indicate explicit obligations.</w:t>
      </w:r>
      <w:r w:rsidR="007B7DF6" w:rsidRPr="00454DB2">
        <w:rPr>
          <w:color w:val="auto"/>
        </w:rPr>
        <w:t xml:space="preserve"> </w:t>
      </w:r>
      <w:r w:rsidR="00E9069B" w:rsidRPr="00454DB2">
        <w:rPr>
          <w:rFonts w:eastAsia="Times New Roman" w:cs="Times New Roman"/>
          <w:i/>
          <w:color w:val="auto"/>
        </w:rPr>
        <w:t xml:space="preserve">Team members </w:t>
      </w:r>
      <w:r w:rsidRPr="00454DB2">
        <w:rPr>
          <w:rFonts w:eastAsia="Times New Roman" w:cs="Times New Roman"/>
          <w:i/>
          <w:color w:val="auto"/>
        </w:rPr>
        <w:t xml:space="preserve">must </w:t>
      </w:r>
      <w:r w:rsidR="00E9069B" w:rsidRPr="00454DB2">
        <w:rPr>
          <w:rFonts w:eastAsia="Times New Roman" w:cs="Times New Roman"/>
          <w:i/>
          <w:color w:val="auto"/>
        </w:rPr>
        <w:t>[</w:t>
      </w:r>
      <w:r w:rsidRPr="00454DB2">
        <w:rPr>
          <w:rFonts w:eastAsia="Times New Roman" w:cs="Times New Roman"/>
          <w:i/>
          <w:color w:val="auto"/>
        </w:rPr>
        <w:t xml:space="preserve">or </w:t>
      </w:r>
      <w:r w:rsidR="00E9069B" w:rsidRPr="00454DB2">
        <w:rPr>
          <w:rFonts w:eastAsia="Times New Roman" w:cs="Times New Roman"/>
          <w:i/>
          <w:color w:val="auto"/>
        </w:rPr>
        <w:t>shall]</w:t>
      </w:r>
      <w:r w:rsidRPr="00454DB2">
        <w:rPr>
          <w:rFonts w:eastAsia="Times New Roman" w:cs="Times New Roman"/>
          <w:i/>
          <w:color w:val="auto"/>
        </w:rPr>
        <w:t xml:space="preserve"> comply with all legal standards applicable to their jobs. </w:t>
      </w:r>
      <w:r w:rsidR="00212533" w:rsidRPr="00454DB2">
        <w:rPr>
          <w:color w:val="auto"/>
        </w:rPr>
        <w:t xml:space="preserve">Note: </w:t>
      </w:r>
      <w:r w:rsidRPr="00454DB2">
        <w:rPr>
          <w:color w:val="auto"/>
        </w:rPr>
        <w:t xml:space="preserve">Adding “not” </w:t>
      </w:r>
      <w:r w:rsidR="00212533" w:rsidRPr="00454DB2">
        <w:rPr>
          <w:color w:val="auto"/>
        </w:rPr>
        <w:lastRenderedPageBreak/>
        <w:t xml:space="preserve">creates a negative obligation: </w:t>
      </w:r>
      <w:r w:rsidRPr="00454DB2">
        <w:rPr>
          <w:rFonts w:eastAsia="Times New Roman" w:cs="Times New Roman"/>
          <w:i/>
          <w:color w:val="auto"/>
        </w:rPr>
        <w:t>Team members (may)(must)(shall)</w:t>
      </w:r>
      <w:r w:rsidR="00212533" w:rsidRPr="00454DB2">
        <w:rPr>
          <w:rFonts w:eastAsia="Times New Roman" w:cs="Times New Roman"/>
          <w:i/>
          <w:color w:val="auto"/>
        </w:rPr>
        <w:t xml:space="preserve"> </w:t>
      </w:r>
      <w:r w:rsidRPr="00454DB2">
        <w:rPr>
          <w:rFonts w:eastAsia="Times New Roman" w:cs="Times New Roman"/>
          <w:i/>
          <w:color w:val="auto"/>
          <w:u w:val="single"/>
        </w:rPr>
        <w:t>not</w:t>
      </w:r>
      <w:r w:rsidRPr="00454DB2">
        <w:rPr>
          <w:rFonts w:eastAsia="Times New Roman" w:cs="Times New Roman"/>
          <w:i/>
          <w:color w:val="auto"/>
        </w:rPr>
        <w:t xml:space="preserve"> reveal confidential patient information to persons who do not ha</w:t>
      </w:r>
      <w:r w:rsidR="009E4897" w:rsidRPr="00454DB2">
        <w:rPr>
          <w:rFonts w:eastAsia="Times New Roman" w:cs="Times New Roman"/>
          <w:i/>
          <w:color w:val="auto"/>
        </w:rPr>
        <w:t>ve a legitimate need to know.</w:t>
      </w:r>
    </w:p>
    <w:p w:rsidR="006C40C2" w:rsidRPr="00454DB2" w:rsidRDefault="006C40C2" w:rsidP="006C40C2">
      <w:pPr>
        <w:spacing w:after="0" w:line="243" w:lineRule="auto"/>
        <w:ind w:left="360"/>
        <w:rPr>
          <w:color w:val="auto"/>
        </w:rPr>
      </w:pPr>
    </w:p>
    <w:p w:rsidR="003A386A" w:rsidRPr="00454DB2" w:rsidRDefault="003A386A" w:rsidP="006C40C2">
      <w:pPr>
        <w:spacing w:after="0" w:line="248" w:lineRule="auto"/>
        <w:ind w:left="360"/>
        <w:rPr>
          <w:color w:val="auto"/>
        </w:rPr>
      </w:pPr>
      <w:r w:rsidRPr="00454DB2">
        <w:rPr>
          <w:rFonts w:eastAsia="Times New Roman" w:cs="Times New Roman"/>
          <w:b/>
          <w:color w:val="auto"/>
        </w:rPr>
        <w:t xml:space="preserve">“Should” </w:t>
      </w:r>
      <w:r w:rsidR="006C40C2" w:rsidRPr="00454DB2">
        <w:rPr>
          <w:rFonts w:eastAsia="Times New Roman" w:cs="Times New Roman"/>
          <w:b/>
          <w:color w:val="auto"/>
        </w:rPr>
        <w:t xml:space="preserve">– </w:t>
      </w:r>
      <w:r w:rsidR="006C40C2" w:rsidRPr="00454DB2">
        <w:rPr>
          <w:rFonts w:eastAsia="Times New Roman" w:cs="Times New Roman"/>
          <w:color w:val="auto"/>
        </w:rPr>
        <w:t xml:space="preserve">Like “guideline,” </w:t>
      </w:r>
      <w:r w:rsidR="00866F4D" w:rsidRPr="00454DB2">
        <w:rPr>
          <w:rFonts w:eastAsia="Times New Roman" w:cs="Times New Roman"/>
          <w:i/>
          <w:color w:val="auto"/>
        </w:rPr>
        <w:t>should</w:t>
      </w:r>
      <w:r w:rsidR="006C40C2" w:rsidRPr="00454DB2">
        <w:rPr>
          <w:rFonts w:eastAsia="Times New Roman" w:cs="Times New Roman"/>
          <w:b/>
          <w:color w:val="auto"/>
        </w:rPr>
        <w:t xml:space="preserve"> </w:t>
      </w:r>
      <w:r w:rsidRPr="00454DB2">
        <w:rPr>
          <w:color w:val="auto"/>
        </w:rPr>
        <w:t>is ambiguous because it can be interpreted as either obligatory or advis</w:t>
      </w:r>
      <w:r w:rsidR="00017C7F" w:rsidRPr="00454DB2">
        <w:rPr>
          <w:color w:val="auto"/>
        </w:rPr>
        <w:t xml:space="preserve">ory, depending on the context. </w:t>
      </w:r>
      <w:r w:rsidRPr="00454DB2">
        <w:rPr>
          <w:color w:val="auto"/>
        </w:rPr>
        <w:t xml:space="preserve">Consider: </w:t>
      </w:r>
      <w:r w:rsidRPr="00454DB2">
        <w:rPr>
          <w:rFonts w:eastAsia="Times New Roman" w:cs="Times New Roman"/>
          <w:i/>
          <w:color w:val="auto"/>
        </w:rPr>
        <w:t>You should call and apologize.</w:t>
      </w:r>
      <w:r w:rsidR="007B7DF6" w:rsidRPr="00454DB2">
        <w:rPr>
          <w:rFonts w:eastAsia="Times New Roman" w:cs="Times New Roman"/>
          <w:i/>
          <w:color w:val="auto"/>
        </w:rPr>
        <w:t xml:space="preserve"> </w:t>
      </w:r>
      <w:r w:rsidRPr="00454DB2">
        <w:rPr>
          <w:color w:val="auto"/>
        </w:rPr>
        <w:t xml:space="preserve">When spoken by a parent to a child, this is likely to be </w:t>
      </w:r>
      <w:r w:rsidR="006C40C2" w:rsidRPr="00454DB2">
        <w:rPr>
          <w:color w:val="auto"/>
        </w:rPr>
        <w:t>considered</w:t>
      </w:r>
      <w:r w:rsidR="00017C7F" w:rsidRPr="00454DB2">
        <w:rPr>
          <w:color w:val="auto"/>
        </w:rPr>
        <w:t xml:space="preserve"> as a command. </w:t>
      </w:r>
      <w:r w:rsidRPr="00454DB2">
        <w:rPr>
          <w:color w:val="auto"/>
        </w:rPr>
        <w:t>When spoken by one friend to another, it is more likely to be taken as advice that one can</w:t>
      </w:r>
      <w:r w:rsidR="00017C7F" w:rsidRPr="00454DB2">
        <w:rPr>
          <w:color w:val="auto"/>
        </w:rPr>
        <w:t xml:space="preserve"> follow or not as s/he wishes. </w:t>
      </w:r>
      <w:r w:rsidRPr="00454DB2">
        <w:rPr>
          <w:rFonts w:eastAsia="Times New Roman" w:cs="Times New Roman"/>
          <w:b/>
          <w:color w:val="auto"/>
        </w:rPr>
        <w:t>“Should”</w:t>
      </w:r>
      <w:r w:rsidRPr="00454DB2">
        <w:rPr>
          <w:rFonts w:eastAsia="Times New Roman" w:cs="Times New Roman"/>
          <w:color w:val="auto"/>
        </w:rPr>
        <w:t xml:space="preserve"> </w:t>
      </w:r>
      <w:r w:rsidRPr="00454DB2">
        <w:rPr>
          <w:color w:val="auto"/>
        </w:rPr>
        <w:t>must never be used in policies</w:t>
      </w:r>
      <w:r w:rsidR="00866F4D" w:rsidRPr="00454DB2">
        <w:rPr>
          <w:color w:val="auto"/>
        </w:rPr>
        <w:t xml:space="preserve"> unless its meaning is well defined</w:t>
      </w:r>
      <w:r w:rsidR="003A7269" w:rsidRPr="00454DB2">
        <w:rPr>
          <w:color w:val="auto"/>
        </w:rPr>
        <w:t>.</w:t>
      </w:r>
    </w:p>
    <w:p w:rsidR="006C40C2" w:rsidRPr="00454DB2" w:rsidRDefault="006C40C2" w:rsidP="006C40C2">
      <w:pPr>
        <w:spacing w:after="0" w:line="248" w:lineRule="auto"/>
        <w:ind w:left="360"/>
        <w:rPr>
          <w:color w:val="auto"/>
        </w:rPr>
      </w:pPr>
    </w:p>
    <w:p w:rsidR="006328B5" w:rsidRPr="00454DB2" w:rsidRDefault="006328B5" w:rsidP="006328B5">
      <w:pPr>
        <w:spacing w:after="0" w:line="248" w:lineRule="auto"/>
        <w:ind w:left="360"/>
        <w:rPr>
          <w:color w:val="auto"/>
        </w:rPr>
      </w:pPr>
      <w:r w:rsidRPr="00454DB2">
        <w:rPr>
          <w:rFonts w:eastAsia="Times New Roman" w:cs="Times New Roman"/>
          <w:b/>
          <w:color w:val="auto"/>
        </w:rPr>
        <w:t>“That”</w:t>
      </w:r>
      <w:r w:rsidRPr="00454DB2">
        <w:rPr>
          <w:color w:val="auto"/>
        </w:rPr>
        <w:t xml:space="preserve"> – Used to introduce a defining clause: a clause that serves to identify the thing being talked about.</w:t>
      </w:r>
      <w:r w:rsidR="007B7DF6" w:rsidRPr="00454DB2">
        <w:rPr>
          <w:color w:val="auto"/>
        </w:rPr>
        <w:t xml:space="preserve"> </w:t>
      </w:r>
      <w:r w:rsidRPr="00454DB2">
        <w:rPr>
          <w:rFonts w:eastAsia="Times New Roman" w:cs="Times New Roman"/>
          <w:i/>
          <w:color w:val="auto"/>
        </w:rPr>
        <w:t xml:space="preserve">The house that Jack built was torn down. </w:t>
      </w:r>
      <w:r w:rsidRPr="00454DB2">
        <w:rPr>
          <w:color w:val="auto"/>
        </w:rPr>
        <w:t>“That Jack built” tells which house was torn down. “Which”, on the other hand, is used to introduce a non-defining clause; a</w:t>
      </w:r>
      <w:r w:rsidR="00E8014E" w:rsidRPr="00454DB2">
        <w:rPr>
          <w:color w:val="auto"/>
        </w:rPr>
        <w:t xml:space="preserve"> clause that gives additional</w:t>
      </w:r>
      <w:r w:rsidR="00E8014E" w:rsidRPr="00454DB2">
        <w:rPr>
          <w:rFonts w:cs="Times New Roman"/>
          <w:color w:val="auto"/>
        </w:rPr>
        <w:t>―</w:t>
      </w:r>
      <w:r w:rsidRPr="00454DB2">
        <w:rPr>
          <w:color w:val="auto"/>
        </w:rPr>
        <w:t>but nonessential</w:t>
      </w:r>
      <w:r w:rsidR="00E8014E" w:rsidRPr="00454DB2">
        <w:rPr>
          <w:rFonts w:cs="Times New Roman"/>
          <w:color w:val="auto"/>
        </w:rPr>
        <w:t>―</w:t>
      </w:r>
      <w:r w:rsidRPr="00454DB2">
        <w:rPr>
          <w:color w:val="auto"/>
        </w:rPr>
        <w:t xml:space="preserve">information about something that has already been identified. In this sentence, </w:t>
      </w:r>
      <w:r w:rsidRPr="00454DB2">
        <w:rPr>
          <w:rFonts w:eastAsia="Times New Roman" w:cs="Times New Roman"/>
          <w:i/>
          <w:color w:val="auto"/>
        </w:rPr>
        <w:t>the house on Falcon Street, which Jack built, was torn down</w:t>
      </w:r>
      <w:r w:rsidRPr="00454DB2">
        <w:rPr>
          <w:color w:val="auto"/>
        </w:rPr>
        <w:t>, the clause “which Jack built” does not further identify the house but provid</w:t>
      </w:r>
      <w:r w:rsidR="003A7269" w:rsidRPr="00454DB2">
        <w:rPr>
          <w:color w:val="auto"/>
        </w:rPr>
        <w:t>es some gratuitous information.</w:t>
      </w:r>
    </w:p>
    <w:p w:rsidR="006328B5" w:rsidRPr="00454DB2" w:rsidRDefault="006328B5" w:rsidP="006328B5">
      <w:pPr>
        <w:spacing w:after="0" w:line="248" w:lineRule="auto"/>
        <w:ind w:left="360"/>
        <w:rPr>
          <w:color w:val="auto"/>
        </w:rPr>
      </w:pPr>
    </w:p>
    <w:p w:rsidR="008C1848" w:rsidRPr="00454DB2" w:rsidRDefault="003A386A" w:rsidP="003A7269">
      <w:pPr>
        <w:spacing w:after="0" w:line="247" w:lineRule="auto"/>
        <w:ind w:left="360"/>
        <w:rPr>
          <w:color w:val="auto"/>
        </w:rPr>
      </w:pPr>
      <w:r w:rsidRPr="00454DB2">
        <w:rPr>
          <w:rFonts w:eastAsia="Times New Roman" w:cs="Times New Roman"/>
          <w:b/>
          <w:color w:val="auto"/>
        </w:rPr>
        <w:t xml:space="preserve">“Will” </w:t>
      </w:r>
      <w:r w:rsidR="009E4897" w:rsidRPr="00454DB2">
        <w:rPr>
          <w:rFonts w:eastAsia="Times New Roman" w:cs="Times New Roman"/>
          <w:color w:val="auto"/>
        </w:rPr>
        <w:t>–</w:t>
      </w:r>
      <w:r w:rsidR="009E4897" w:rsidRPr="00454DB2">
        <w:rPr>
          <w:rFonts w:eastAsia="Times New Roman" w:cs="Times New Roman"/>
          <w:b/>
          <w:color w:val="auto"/>
        </w:rPr>
        <w:t xml:space="preserve"> </w:t>
      </w:r>
      <w:r w:rsidR="009E4897" w:rsidRPr="00454DB2">
        <w:rPr>
          <w:color w:val="auto"/>
        </w:rPr>
        <w:t>U</w:t>
      </w:r>
      <w:r w:rsidRPr="00454DB2">
        <w:rPr>
          <w:color w:val="auto"/>
        </w:rPr>
        <w:t>sed to describe a future event or customary action:</w:t>
      </w:r>
      <w:r w:rsidR="007B7DF6" w:rsidRPr="00454DB2">
        <w:rPr>
          <w:color w:val="auto"/>
        </w:rPr>
        <w:t xml:space="preserve"> </w:t>
      </w:r>
      <w:r w:rsidRPr="00454DB2">
        <w:rPr>
          <w:rFonts w:eastAsia="Times New Roman" w:cs="Times New Roman"/>
          <w:i/>
          <w:color w:val="auto"/>
        </w:rPr>
        <w:t xml:space="preserve">The </w:t>
      </w:r>
      <w:r w:rsidR="00ED5116" w:rsidRPr="00454DB2">
        <w:rPr>
          <w:rFonts w:eastAsia="Times New Roman" w:cs="Times New Roman"/>
          <w:i/>
          <w:color w:val="auto"/>
        </w:rPr>
        <w:t>a</w:t>
      </w:r>
      <w:r w:rsidRPr="00454DB2">
        <w:rPr>
          <w:rFonts w:eastAsia="Times New Roman" w:cs="Times New Roman"/>
          <w:i/>
          <w:color w:val="auto"/>
        </w:rPr>
        <w:t xml:space="preserve">ccounts </w:t>
      </w:r>
      <w:r w:rsidR="00ED5116" w:rsidRPr="00454DB2">
        <w:rPr>
          <w:rFonts w:eastAsia="Times New Roman" w:cs="Times New Roman"/>
          <w:i/>
          <w:color w:val="auto"/>
        </w:rPr>
        <w:t>p</w:t>
      </w:r>
      <w:r w:rsidRPr="00454DB2">
        <w:rPr>
          <w:rFonts w:eastAsia="Times New Roman" w:cs="Times New Roman"/>
          <w:i/>
          <w:color w:val="auto"/>
        </w:rPr>
        <w:t xml:space="preserve">ayable clerk will process check requests and forward them to the director of </w:t>
      </w:r>
      <w:r w:rsidR="00ED5116" w:rsidRPr="00454DB2">
        <w:rPr>
          <w:rFonts w:eastAsia="Times New Roman" w:cs="Times New Roman"/>
          <w:i/>
          <w:color w:val="auto"/>
        </w:rPr>
        <w:t>a</w:t>
      </w:r>
      <w:r w:rsidRPr="00454DB2">
        <w:rPr>
          <w:rFonts w:eastAsia="Times New Roman" w:cs="Times New Roman"/>
          <w:i/>
          <w:color w:val="auto"/>
        </w:rPr>
        <w:t xml:space="preserve">ccounts </w:t>
      </w:r>
      <w:r w:rsidR="00ED5116" w:rsidRPr="00454DB2">
        <w:rPr>
          <w:rFonts w:eastAsia="Times New Roman" w:cs="Times New Roman"/>
          <w:i/>
          <w:color w:val="auto"/>
        </w:rPr>
        <w:t>p</w:t>
      </w:r>
      <w:r w:rsidRPr="00454DB2">
        <w:rPr>
          <w:rFonts w:eastAsia="Times New Roman" w:cs="Times New Roman"/>
          <w:i/>
          <w:color w:val="auto"/>
        </w:rPr>
        <w:t xml:space="preserve">ayable for signature. </w:t>
      </w:r>
      <w:r w:rsidRPr="00454DB2">
        <w:rPr>
          <w:color w:val="auto"/>
        </w:rPr>
        <w:t xml:space="preserve">To avoid ambiguity, </w:t>
      </w:r>
      <w:r w:rsidRPr="00454DB2">
        <w:rPr>
          <w:rFonts w:eastAsia="Times New Roman" w:cs="Times New Roman"/>
          <w:b/>
          <w:color w:val="auto"/>
        </w:rPr>
        <w:t xml:space="preserve">“will” </w:t>
      </w:r>
      <w:r w:rsidRPr="00454DB2">
        <w:rPr>
          <w:color w:val="auto"/>
        </w:rPr>
        <w:t>must not be used to indi</w:t>
      </w:r>
      <w:r w:rsidR="00ED5116" w:rsidRPr="00454DB2">
        <w:rPr>
          <w:color w:val="auto"/>
        </w:rPr>
        <w:t xml:space="preserve">cate a requirement or command. </w:t>
      </w:r>
      <w:r w:rsidRPr="00454DB2">
        <w:rPr>
          <w:color w:val="auto"/>
        </w:rPr>
        <w:t>(S</w:t>
      </w:r>
      <w:r w:rsidR="00ED5116" w:rsidRPr="00454DB2">
        <w:rPr>
          <w:color w:val="auto"/>
        </w:rPr>
        <w:t xml:space="preserve">ee “must” and “shall,” above.) </w:t>
      </w:r>
      <w:r w:rsidRPr="00454DB2">
        <w:rPr>
          <w:color w:val="auto"/>
        </w:rPr>
        <w:t xml:space="preserve">Normally </w:t>
      </w:r>
      <w:r w:rsidRPr="00454DB2">
        <w:rPr>
          <w:rFonts w:eastAsia="Times New Roman" w:cs="Times New Roman"/>
          <w:b/>
          <w:color w:val="auto"/>
        </w:rPr>
        <w:t>“will”</w:t>
      </w:r>
      <w:r w:rsidRPr="00454DB2">
        <w:rPr>
          <w:color w:val="auto"/>
        </w:rPr>
        <w:t xml:space="preserve"> is used only in the procedure section of a policy.</w:t>
      </w:r>
    </w:p>
    <w:p w:rsidR="00286F45" w:rsidRPr="00454DB2" w:rsidRDefault="00286F45" w:rsidP="003A7269">
      <w:pPr>
        <w:spacing w:after="0" w:line="247" w:lineRule="auto"/>
        <w:ind w:left="360"/>
        <w:rPr>
          <w:color w:val="auto"/>
        </w:rPr>
      </w:pPr>
    </w:p>
    <w:p w:rsidR="00286F45" w:rsidRPr="00454DB2" w:rsidRDefault="00286F45" w:rsidP="00286F45">
      <w:pPr>
        <w:rPr>
          <w:rFonts w:cs="Times New Roman"/>
          <w:i/>
          <w:color w:val="auto"/>
        </w:rPr>
      </w:pPr>
    </w:p>
    <w:p w:rsidR="00286F45" w:rsidRPr="00454DB2" w:rsidRDefault="00286F45" w:rsidP="00286F45">
      <w:pPr>
        <w:rPr>
          <w:rFonts w:cs="Times New Roman"/>
          <w:color w:val="auto"/>
        </w:rPr>
      </w:pPr>
      <w:r w:rsidRPr="00454DB2">
        <w:rPr>
          <w:rFonts w:cs="Times New Roman"/>
          <w:i/>
          <w:color w:val="auto"/>
        </w:rPr>
        <w:t>Source</w:t>
      </w:r>
      <w:r w:rsidRPr="00454DB2">
        <w:rPr>
          <w:rFonts w:cs="Times New Roman"/>
          <w:color w:val="auto"/>
        </w:rPr>
        <w:t>: J. Stuart Showalter, JD, MFS, contributing editor for HFMA.</w:t>
      </w:r>
    </w:p>
    <w:p w:rsidR="00286F45" w:rsidRPr="00A40C67" w:rsidRDefault="00286F45" w:rsidP="003A7269">
      <w:pPr>
        <w:spacing w:after="0" w:line="247" w:lineRule="auto"/>
        <w:ind w:left="360"/>
      </w:pPr>
    </w:p>
    <w:sectPr w:rsidR="00286F45" w:rsidRPr="00A40C67" w:rsidSect="00B26B2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1AA" w:rsidRDefault="009701AA" w:rsidP="009701AA">
      <w:pPr>
        <w:spacing w:after="0" w:line="240" w:lineRule="auto"/>
      </w:pPr>
      <w:r>
        <w:separator/>
      </w:r>
    </w:p>
  </w:endnote>
  <w:endnote w:type="continuationSeparator" w:id="0">
    <w:p w:rsidR="009701AA" w:rsidRDefault="009701AA" w:rsidP="0097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1AA" w:rsidRDefault="009701AA" w:rsidP="009701AA">
      <w:pPr>
        <w:spacing w:after="0" w:line="240" w:lineRule="auto"/>
      </w:pPr>
      <w:r>
        <w:separator/>
      </w:r>
    </w:p>
  </w:footnote>
  <w:footnote w:type="continuationSeparator" w:id="0">
    <w:p w:rsidR="009701AA" w:rsidRDefault="009701AA" w:rsidP="0097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1AA" w:rsidRDefault="009701AA">
    <w:pPr>
      <w:pStyle w:val="Header"/>
    </w:pPr>
    <w:r>
      <w:t>An HFMA Forums Tool (hfma.org/forums)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28D"/>
    <w:multiLevelType w:val="hybridMultilevel"/>
    <w:tmpl w:val="4B8A7B82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" w15:restartNumberingAfterBreak="0">
    <w:nsid w:val="522F2E2A"/>
    <w:multiLevelType w:val="hybridMultilevel"/>
    <w:tmpl w:val="99721474"/>
    <w:lvl w:ilvl="0" w:tplc="0902E9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3809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FAF6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E6BC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7E2E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4C8A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1EC0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9E35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1209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E2125"/>
    <w:multiLevelType w:val="hybridMultilevel"/>
    <w:tmpl w:val="9364C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26E4D"/>
    <w:multiLevelType w:val="hybridMultilevel"/>
    <w:tmpl w:val="B31EF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9254C"/>
    <w:multiLevelType w:val="hybridMultilevel"/>
    <w:tmpl w:val="0232985C"/>
    <w:lvl w:ilvl="0" w:tplc="76A4004E">
      <w:start w:val="1"/>
      <w:numFmt w:val="upperRoman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F093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CE48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B224C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88372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D2F14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184CD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1CA78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000AE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C67"/>
    <w:rsid w:val="00017C7F"/>
    <w:rsid w:val="00033AFC"/>
    <w:rsid w:val="000A11BD"/>
    <w:rsid w:val="000C4168"/>
    <w:rsid w:val="00114B4C"/>
    <w:rsid w:val="00134175"/>
    <w:rsid w:val="001E2BF5"/>
    <w:rsid w:val="00212533"/>
    <w:rsid w:val="00286F45"/>
    <w:rsid w:val="002C7155"/>
    <w:rsid w:val="003A386A"/>
    <w:rsid w:val="003A7269"/>
    <w:rsid w:val="003B3B2E"/>
    <w:rsid w:val="003F345E"/>
    <w:rsid w:val="00434C1C"/>
    <w:rsid w:val="00454DB2"/>
    <w:rsid w:val="0051511E"/>
    <w:rsid w:val="005672EE"/>
    <w:rsid w:val="00594A72"/>
    <w:rsid w:val="005C513D"/>
    <w:rsid w:val="006156C5"/>
    <w:rsid w:val="006328B5"/>
    <w:rsid w:val="00663D4D"/>
    <w:rsid w:val="006C40C2"/>
    <w:rsid w:val="00732506"/>
    <w:rsid w:val="007B7DF6"/>
    <w:rsid w:val="00866F4D"/>
    <w:rsid w:val="008954FA"/>
    <w:rsid w:val="008C1848"/>
    <w:rsid w:val="00916EB7"/>
    <w:rsid w:val="00927E89"/>
    <w:rsid w:val="00942814"/>
    <w:rsid w:val="009701AA"/>
    <w:rsid w:val="009E4897"/>
    <w:rsid w:val="00A40C67"/>
    <w:rsid w:val="00A5401E"/>
    <w:rsid w:val="00B26B22"/>
    <w:rsid w:val="00BE2BF3"/>
    <w:rsid w:val="00C06659"/>
    <w:rsid w:val="00C747D6"/>
    <w:rsid w:val="00D41695"/>
    <w:rsid w:val="00DF720E"/>
    <w:rsid w:val="00E8014E"/>
    <w:rsid w:val="00E9069B"/>
    <w:rsid w:val="00ED4B94"/>
    <w:rsid w:val="00ED5116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77FE"/>
  <w15:docId w15:val="{AF72A0CA-8B61-4A1D-B085-3CDE7E49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doni MT" w:eastAsiaTheme="minorHAnsi" w:hAnsi="Bodoni MT" w:cs="Helvetica"/>
        <w:iCs/>
        <w:color w:val="444444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3250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33AFC"/>
    <w:pPr>
      <w:spacing w:after="0" w:line="240" w:lineRule="auto"/>
      <w:contextualSpacing/>
    </w:pPr>
    <w:rPr>
      <w:rFonts w:eastAsiaTheme="majorEastAsia" w:cs="Times New Roman"/>
      <w:color w:val="auto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33AFC"/>
    <w:rPr>
      <w:rFonts w:ascii="Times New Roman" w:eastAsiaTheme="majorEastAsia" w:hAnsi="Times New Roman" w:cs="Times New Roman"/>
      <w:color w:val="auto"/>
      <w:spacing w:val="-10"/>
      <w:kern w:val="28"/>
      <w:sz w:val="44"/>
      <w:szCs w:val="44"/>
    </w:rPr>
  </w:style>
  <w:style w:type="character" w:customStyle="1" w:styleId="Heading1Char">
    <w:name w:val="Heading 1 Char"/>
    <w:basedOn w:val="DefaultParagraphFont"/>
    <w:link w:val="Heading1"/>
    <w:rsid w:val="00A40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3A386A"/>
    <w:pPr>
      <w:spacing w:after="0" w:line="240" w:lineRule="auto"/>
    </w:pPr>
    <w:rPr>
      <w:rFonts w:asciiTheme="minorHAnsi" w:eastAsiaTheme="minorEastAsia" w:hAnsiTheme="minorHAnsi" w:cstheme="minorBidi"/>
      <w:iCs w:val="0"/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A38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0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1A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70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1AA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E2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BF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BF5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HFMA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Showalter</dc:creator>
  <cp:lastModifiedBy>Betty Hintch</cp:lastModifiedBy>
  <cp:revision>6</cp:revision>
  <dcterms:created xsi:type="dcterms:W3CDTF">2017-01-04T18:51:00Z</dcterms:created>
  <dcterms:modified xsi:type="dcterms:W3CDTF">2017-01-26T17:37:00Z</dcterms:modified>
</cp:coreProperties>
</file>