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Sending the Feedback Survey Email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Tip:</w:t>
      </w:r>
      <w:r>
        <w:rPr>
          <w:rFonts w:ascii="Calibri" w:hAnsi="Calibri" w:cs="Calibri"/>
          <w:color w:val="201F1E"/>
          <w:sz w:val="22"/>
          <w:szCs w:val="22"/>
        </w:rPr>
        <w:t> Before sending out the Feedback Survey email, please make sure the “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From Email Address</w:t>
      </w:r>
      <w:r>
        <w:rPr>
          <w:rFonts w:ascii="Calibri" w:hAnsi="Calibri" w:cs="Calibri"/>
          <w:color w:val="201F1E"/>
          <w:sz w:val="22"/>
          <w:szCs w:val="22"/>
        </w:rPr>
        <w:t>” and “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Audience</w:t>
      </w:r>
      <w:r>
        <w:rPr>
          <w:rFonts w:ascii="Calibri" w:hAnsi="Calibri" w:cs="Calibri"/>
          <w:color w:val="201F1E"/>
          <w:sz w:val="22"/>
          <w:szCs w:val="22"/>
        </w:rPr>
        <w:t>” is correct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(screenshot below)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97003" cy="5534025"/>
            <wp:effectExtent l="0" t="0" r="0" b="0"/>
            <wp:docPr id="4" name="Picture 4" descr="C:\Users\PJ\AppData\Local\Microsoft\Windows\INetCache\Content.MSO\387117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3871179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07" cy="55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  <w:t>Make sure you have the right Audience. The most commonly used are: 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Accepted Registrants </w:t>
      </w:r>
      <w:r>
        <w:rPr>
          <w:rFonts w:ascii="Calibri" w:hAnsi="Calibri" w:cs="Calibri"/>
          <w:color w:val="201F1E"/>
          <w:sz w:val="22"/>
          <w:szCs w:val="22"/>
        </w:rPr>
        <w:t>and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Attended Registrants.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5962650" cy="2501024"/>
            <wp:effectExtent l="0" t="0" r="0" b="0"/>
            <wp:docPr id="3" name="Picture 3" descr="C:\Users\PJ\AppData\Local\Microsoft\Windows\INetCache\Content.MSO\A1443C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A1443C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92" cy="2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Description of all Audience types for your reference: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All Invited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Everyone added to your </w:t>
      </w:r>
      <w:hyperlink r:id="rId7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invitation lists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Undecided Invitees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opens the email but has not RSVP'd to attend the event or not.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Invitees who abandoned registration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begins registering but does not click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Finish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 This audience type will </w:t>
      </w:r>
      <w:r>
        <w:rPr>
          <w:rFonts w:ascii="Calibri" w:hAnsi="Calibri" w:cs="Calibri"/>
          <w:i/>
          <w:iCs/>
          <w:color w:val="222222"/>
          <w:sz w:val="22"/>
          <w:szCs w:val="22"/>
          <w:bdr w:val="none" w:sz="0" w:space="0" w:color="auto" w:frame="1"/>
        </w:rPr>
        <w:t>not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work when </w:t>
      </w:r>
      <w:hyperlink r:id="rId8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manually sending an email</w:t>
        </w:r>
      </w:hyperlink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Registrants Pending Approval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registered for the event, but is </w:t>
      </w:r>
      <w:hyperlink r:id="rId9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awaiting your approval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 This audience type will </w:t>
      </w:r>
      <w:r>
        <w:rPr>
          <w:rFonts w:ascii="Calibri" w:hAnsi="Calibri" w:cs="Calibri"/>
          <w:i/>
          <w:iCs/>
          <w:color w:val="222222"/>
          <w:sz w:val="22"/>
          <w:szCs w:val="22"/>
          <w:bdr w:val="none" w:sz="0" w:space="0" w:color="auto" w:frame="1"/>
        </w:rPr>
        <w:t>not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work when </w:t>
      </w:r>
      <w:hyperlink r:id="rId10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manually sending an email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Denied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registered for the event, that </w:t>
      </w:r>
      <w:hyperlink r:id="rId11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you did not accept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Waitlisted Invitees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has been </w:t>
      </w:r>
      <w:hyperlink r:id="rId12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added to the event waitlist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, but is waiting for a spot to open up.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  <w:shd w:val="clear" w:color="auto" w:fill="FFFF00"/>
        </w:rPr>
        <w:t>Accepted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00"/>
        </w:rPr>
        <w:t> –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An invitee who successfully registered for the event, or, if you have </w:t>
      </w:r>
      <w:hyperlink r:id="rId13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Registration Approval enable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, that </w:t>
      </w:r>
      <w:hyperlink r:id="rId14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you have approved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Cancelled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registered for the event, but then cancels.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Declined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has RSVP'd "No" to the event.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  <w:shd w:val="clear" w:color="auto" w:fill="FFFF00"/>
        </w:rPr>
        <w:t>Attended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 registrant who has been </w:t>
      </w:r>
      <w:hyperlink r:id="rId15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marked as a participant</w:t>
        </w:r>
      </w:hyperlink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.  (See below for more details)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No-Show Registrants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– An invitee who registered for the event, but did not attend, and, therefore, was not marked as a participant. This audience type will </w:t>
      </w:r>
      <w:r>
        <w:rPr>
          <w:rFonts w:ascii="Calibri" w:hAnsi="Calibri" w:cs="Calibri"/>
          <w:i/>
          <w:iCs/>
          <w:color w:val="222222"/>
          <w:sz w:val="22"/>
          <w:szCs w:val="22"/>
          <w:bdr w:val="none" w:sz="0" w:space="0" w:color="auto" w:frame="1"/>
        </w:rPr>
        <w:t>not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work when </w:t>
      </w:r>
      <w:hyperlink r:id="rId16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manually sending an email</w:t>
        </w:r>
      </w:hyperlink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22222"/>
          <w:sz w:val="20"/>
          <w:szCs w:val="20"/>
          <w:bdr w:val="none" w:sz="0" w:space="0" w:color="auto" w:frame="1"/>
        </w:rPr>
        <w:lastRenderedPageBreak/>
        <w:t></w:t>
      </w:r>
      <w:r>
        <w:rPr>
          <w:color w:val="222222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Registrants who have a balance due</w:t>
      </w:r>
      <w:proofErr w:type="gramStart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–  An</w:t>
      </w:r>
      <w:proofErr w:type="gramEnd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 xml:space="preserve"> invitee who has registered for the event, but has not paid their amount due. This audience type will </w:t>
      </w:r>
      <w:r>
        <w:rPr>
          <w:rFonts w:ascii="Calibri" w:hAnsi="Calibri" w:cs="Calibri"/>
          <w:i/>
          <w:iCs/>
          <w:color w:val="222222"/>
          <w:sz w:val="22"/>
          <w:szCs w:val="22"/>
          <w:bdr w:val="none" w:sz="0" w:space="0" w:color="auto" w:frame="1"/>
        </w:rPr>
        <w:t>not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work when </w:t>
      </w:r>
      <w:hyperlink r:id="rId17" w:tgtFrame="_blank" w:history="1">
        <w:r>
          <w:rPr>
            <w:rStyle w:val="Hyperlink"/>
            <w:rFonts w:ascii="Calibri" w:hAnsi="Calibri" w:cs="Calibri"/>
            <w:color w:val="337AB7"/>
            <w:sz w:val="22"/>
            <w:szCs w:val="22"/>
            <w:bdr w:val="none" w:sz="0" w:space="0" w:color="auto" w:frame="1"/>
          </w:rPr>
          <w:t>manually sending an email</w:t>
        </w:r>
      </w:hyperlink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</w:rPr>
        <w:t>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If your selected Audience is 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Attended registrants,</w:t>
      </w: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please make sure they’re checked in before sending the evaluation email.  There are 3 ways to check in: </w:t>
      </w:r>
    </w:p>
    <w:p w:rsidR="00241E6F" w:rsidRDefault="00241E6F" w:rsidP="00241E6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onArrival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onsite (if you purchased or rent by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CVent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</w:t>
      </w:r>
    </w:p>
    <w:p w:rsidR="00241E6F" w:rsidRDefault="00241E6F" w:rsidP="00241E6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Free basic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OnArrival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mobile app </w:t>
      </w:r>
    </w:p>
    <w:p w:rsidR="00241E6F" w:rsidRDefault="00241E6F" w:rsidP="00241E6F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Check in manually in Cvent by marking them individually (Steps below)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42"/>
          <w:szCs w:val="42"/>
          <w:bdr w:val="none" w:sz="0" w:space="0" w:color="auto" w:frame="1"/>
          <w:shd w:val="clear" w:color="auto" w:fill="FFFFFF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Marking Participants Individually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9DDC"/>
          <w:sz w:val="22"/>
          <w:szCs w:val="22"/>
          <w:bdr w:val="none" w:sz="0" w:space="0" w:color="auto" w:frame="1"/>
          <w:shd w:val="clear" w:color="auto" w:fill="FFFFFF"/>
        </w:rPr>
        <w:t>1 Access the Participation page.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Begin by selecting your event. Hover over Invitee Management and, under Assign, click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Participation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b/>
          <w:bCs/>
          <w:color w:val="009DDC"/>
          <w:sz w:val="22"/>
          <w:szCs w:val="22"/>
          <w:bdr w:val="none" w:sz="0" w:space="0" w:color="auto" w:frame="1"/>
          <w:shd w:val="clear" w:color="auto" w:fill="FFFFFF"/>
        </w:rPr>
        <w:t>2</w:t>
      </w:r>
      <w:r>
        <w:rPr>
          <w:rFonts w:ascii="Calibri" w:hAnsi="Calibri" w:cs="Calibri"/>
          <w:color w:val="009DDC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9DDC"/>
          <w:sz w:val="22"/>
          <w:szCs w:val="22"/>
          <w:bdr w:val="none" w:sz="0" w:space="0" w:color="auto" w:frame="1"/>
          <w:shd w:val="clear" w:color="auto" w:fill="FFFFFF"/>
        </w:rPr>
        <w:t>Mark the participants.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Note the Participant column. A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Yes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indicates the registrant showed up. A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No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means they did not.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Need to narrow the list? Click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Participant Search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in the upper right, filter by invitee status, participant status, </w:t>
      </w:r>
      <w:hyperlink r:id="rId18" w:tgtFrame="_blank" w:history="1">
        <w:r>
          <w:rPr>
            <w:rStyle w:val="Hyperlink"/>
            <w:rFonts w:ascii="Calibri" w:hAnsi="Calibri" w:cs="Calibri"/>
            <w:b/>
            <w:bCs/>
            <w:color w:val="0183EB"/>
            <w:sz w:val="22"/>
            <w:szCs w:val="22"/>
            <w:bdr w:val="none" w:sz="0" w:space="0" w:color="auto" w:frame="1"/>
            <w:shd w:val="clear" w:color="auto" w:fill="FFFFFF"/>
          </w:rPr>
          <w:t>or session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 and click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Search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8296275" cy="2066925"/>
            <wp:effectExtent l="0" t="0" r="9525" b="9525"/>
            <wp:docPr id="2" name="Picture 2" descr="C:\Users\PJ\AppData\Local\Microsoft\Windows\INetCache\Content.MSO\40516A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40516AD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To mark individual registrants as participants or no-shows, check the boxes to the left of their names. You can select everyone at once by checking the top box in the checkbox column.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6553200" cy="1285866"/>
            <wp:effectExtent l="0" t="0" r="0" b="0"/>
            <wp:docPr id="1" name="Picture 1" descr="C:\Users\PJ\AppData\Local\Microsoft\Windows\INetCache\Content.MSO\B64BF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J\AppData\Local\Microsoft\Windows\INetCache\Content.MSO\B64BF5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" r="1644"/>
                    <a:stretch/>
                  </pic:blipFill>
                  <pic:spPr bwMode="auto">
                    <a:xfrm>
                      <a:off x="0" y="0"/>
                      <a:ext cx="6648841" cy="130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Click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Update Participation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The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No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will be changed to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Yes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and vice versa, for everyone you selected.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41E6F">
        <w:rPr>
          <w:rFonts w:ascii="Calibri" w:hAnsi="Calibri" w:cs="Calibri"/>
          <w:color w:val="201F1E"/>
          <w:sz w:val="22"/>
          <w:szCs w:val="22"/>
        </w:rPr>
        <w:t xml:space="preserve">If you are not receiving Ada’s Cvent tips email </w:t>
      </w:r>
      <w:hyperlink r:id="rId21" w:history="1">
        <w:r w:rsidR="00E86FB6" w:rsidRPr="00DB653B">
          <w:rPr>
            <w:rStyle w:val="Hyperlink"/>
            <w:rFonts w:ascii="Calibri" w:hAnsi="Calibri" w:cs="Calibri"/>
            <w:sz w:val="22"/>
            <w:szCs w:val="22"/>
          </w:rPr>
          <w:t>chapter@hfma.org</w:t>
        </w:r>
      </w:hyperlink>
      <w:r w:rsidR="00E86FB6">
        <w:rPr>
          <w:rFonts w:ascii="Calibri" w:hAnsi="Calibri" w:cs="Calibri"/>
          <w:color w:val="201F1E"/>
          <w:sz w:val="22"/>
          <w:szCs w:val="22"/>
        </w:rPr>
        <w:t xml:space="preserve"> </w:t>
      </w:r>
      <w:bookmarkStart w:id="0" w:name="_GoBack"/>
      <w:bookmarkEnd w:id="0"/>
      <w:r w:rsidRPr="00241E6F">
        <w:rPr>
          <w:rFonts w:ascii="Calibri" w:hAnsi="Calibri" w:cs="Calibri"/>
          <w:color w:val="201F1E"/>
          <w:sz w:val="22"/>
          <w:szCs w:val="22"/>
        </w:rPr>
        <w:t>and ask to be put on the list.</w:t>
      </w:r>
    </w:p>
    <w:p w:rsidR="00241E6F" w:rsidRDefault="00241E6F" w:rsidP="00241E6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E1CBA" w:rsidRDefault="00E86FB6"/>
    <w:sectPr w:rsidR="00E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74B7"/>
    <w:multiLevelType w:val="multilevel"/>
    <w:tmpl w:val="D2C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DM0Mze3tDCzMDdQ0lEKTi0uzszPAykwqgUAuCqlhywAAAA="/>
  </w:docVars>
  <w:rsids>
    <w:rsidRoot w:val="00241E6F"/>
    <w:rsid w:val="00241E6F"/>
    <w:rsid w:val="003930BC"/>
    <w:rsid w:val="008B24B5"/>
    <w:rsid w:val="00B17B76"/>
    <w:rsid w:val="00E86FB6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EE26"/>
  <w15:chartTrackingRefBased/>
  <w15:docId w15:val="{2C039C3E-5FD8-4C06-A14D-C9DCE37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E6F"/>
    <w:rPr>
      <w:color w:val="0000FF"/>
      <w:u w:val="single"/>
    </w:rPr>
  </w:style>
  <w:style w:type="paragraph" w:customStyle="1" w:styleId="xmsolistparagraph">
    <w:name w:val="x_msolistparagraph"/>
    <w:basedOn w:val="Normal"/>
    <w:rsid w:val="0024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vent.com/apex/CommunityArticle?id=000007442" TargetMode="External"/><Relationship Id="rId13" Type="http://schemas.openxmlformats.org/officeDocument/2006/relationships/hyperlink" Target="https://cvent.my.salesforce.com/apex/CommunityArticle?id=000002498" TargetMode="External"/><Relationship Id="rId18" Type="http://schemas.openxmlformats.org/officeDocument/2006/relationships/hyperlink" Target="https://support.cvent.com/apex/CommunityArticle?id=0000379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apter@hfma.org" TargetMode="External"/><Relationship Id="rId7" Type="http://schemas.openxmlformats.org/officeDocument/2006/relationships/hyperlink" Target="https://cvent.my.salesforce.com/apex/CommunityArticle?id=000002338" TargetMode="External"/><Relationship Id="rId12" Type="http://schemas.openxmlformats.org/officeDocument/2006/relationships/hyperlink" Target="https://support.cvent.com/apex/CommunityArticle?id=000002559" TargetMode="External"/><Relationship Id="rId17" Type="http://schemas.openxmlformats.org/officeDocument/2006/relationships/hyperlink" Target="https://support.cvent.com/apex/CommunityArticle?id=0000074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cvent.com/apex/CommunityArticle?id=000007442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vent.my.salesforce.com/apex/CommunityArticle?id=0000025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vent.my.salesforce.com/apex/CommunityArticle?id=000002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cvent.com/apex/CommunityArticle?id=000007442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vent.my.salesforce.com/apex/CommunityArticle?id=000002514" TargetMode="External"/><Relationship Id="rId14" Type="http://schemas.openxmlformats.org/officeDocument/2006/relationships/hyperlink" Target="https://cvent.my.salesforce.com/apex/CommunityArticle?id=0000025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3</cp:revision>
  <dcterms:created xsi:type="dcterms:W3CDTF">2019-05-02T15:56:00Z</dcterms:created>
  <dcterms:modified xsi:type="dcterms:W3CDTF">2019-05-02T20:22:00Z</dcterms:modified>
</cp:coreProperties>
</file>