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4E79"/>
          <w:sz w:val="22"/>
        </w:rPr>
        <w:t>2026 LA &amp; MS HFMA Summer Institute</w:t>
      </w:r>
    </w:p>
    <w:p>
      <w:pPr>
        <w:pStyle w:val="Title"/>
        <w:jc w:val="center"/>
      </w:pPr>
      <w:r>
        <w:t>Volunteer Roles Reference</w:t>
      </w:r>
    </w:p>
    <w:p>
      <w:pPr>
        <w:jc w:val="center"/>
      </w:pPr>
      <w:r>
        <w:rPr>
          <w:i/>
          <w:sz w:val="20"/>
        </w:rPr>
        <w:t>28 volunteer position types used for conference operations</w:t>
      </w:r>
    </w:p>
    <w:p>
      <w:pPr>
        <w:pStyle w:val="Heading1"/>
      </w:pPr>
      <w:r>
        <w:t>Volunteer Positions</w:t>
      </w:r>
    </w:p>
    <w:tbl>
      <w:tblPr>
        <w:tblStyle w:val="TableGrid"/>
        <w:tblW w:type="auto" w:w="0"/>
        <w:jc w:val="center"/>
        <w:tblLayout w:type="fixed"/>
        <w:tblLook w:firstColumn="1" w:firstRow="1" w:lastColumn="0" w:lastRow="0" w:noHBand="0" w:noVBand="1" w:val="04A0"/>
      </w:tblPr>
      <w:tblGrid>
        <w:gridCol w:w="5256"/>
        <w:gridCol w:w="5256"/>
      </w:tblGrid>
      <w:tr>
        <w:trPr>
          <w:tblHeader w:val="true"/>
          <w:cantSplit/>
        </w:trPr>
        <w:tc>
          <w:tcPr>
            <w:tcW w:type="dxa" w:w="3096"/>
            <w:shd w:fill="1F4E78"/>
            <w:vAlign w:val="center"/>
            <w:tcMar>
              <w:top w:w="80" w:type="dxa"/>
              <w:start w:w="100" w:type="dxa"/>
              <w:bottom w:w="80" w:type="dxa"/>
              <w:end w:w="100" w:type="dxa"/>
            </w:tcMar>
          </w:tcPr>
          <w:p>
            <w:r>
              <w:rPr>
                <w:b/>
                <w:color w:val="FFFFFF"/>
                <w:sz w:val="19"/>
              </w:rPr>
              <w:t>Volunteer Role</w:t>
            </w:r>
          </w:p>
        </w:tc>
        <w:tc>
          <w:tcPr>
            <w:tcW w:type="dxa" w:w="8208"/>
            <w:shd w:fill="1F4E78"/>
            <w:vAlign w:val="center"/>
            <w:tcMar>
              <w:top w:w="80" w:type="dxa"/>
              <w:start w:w="100" w:type="dxa"/>
              <w:bottom w:w="80" w:type="dxa"/>
              <w:end w:w="100" w:type="dxa"/>
            </w:tcMar>
          </w:tcPr>
          <w:p>
            <w:r>
              <w:rPr>
                <w:b/>
                <w:color w:val="FFFFFF"/>
                <w:sz w:val="19"/>
              </w:rPr>
              <w:t>Description</w:t>
            </w:r>
          </w:p>
        </w:tc>
      </w:tr>
      <w:tr>
        <w:trPr>
          <w:cantSplit/>
        </w:trPr>
        <w:tc>
          <w:tcPr>
            <w:tcW w:type="dxa" w:w="3096"/>
            <w:vAlign w:val="top"/>
            <w:tcMar>
              <w:top w:w="80" w:type="dxa"/>
              <w:start w:w="100" w:type="dxa"/>
              <w:bottom w:w="80" w:type="dxa"/>
              <w:end w:w="100" w:type="dxa"/>
            </w:tcMar>
          </w:tcPr>
          <w:p>
            <w:pPr>
              <w:spacing w:after="0" w:line="240" w:lineRule="auto"/>
            </w:pPr>
            <w:r>
              <w:rPr>
                <w:b/>
                <w:sz w:val="18"/>
              </w:rPr>
              <w:t>Sponsor Check-In Team</w:t>
            </w:r>
          </w:p>
        </w:tc>
        <w:tc>
          <w:tcPr>
            <w:tcW w:type="dxa" w:w="8208"/>
            <w:vAlign w:val="top"/>
            <w:tcMar>
              <w:top w:w="80" w:type="dxa"/>
              <w:start w:w="100" w:type="dxa"/>
              <w:bottom w:w="80" w:type="dxa"/>
              <w:end w:w="100" w:type="dxa"/>
            </w:tcMar>
          </w:tcPr>
          <w:p>
            <w:pPr>
              <w:spacing w:after="0" w:line="240" w:lineRule="auto"/>
            </w:pPr>
            <w:r>
              <w:rPr>
                <w:sz w:val="18"/>
              </w:rPr>
              <w:t>Welcomes sponsors and exhibitors when they arrive, helps them get oriented, directs them to their exhibit area, and connects them with the Sponsorship team when needed.</w:t>
            </w:r>
          </w:p>
        </w:tc>
      </w:tr>
      <w:tr>
        <w:trPr>
          <w:cantSplit/>
        </w:trPr>
        <w:tc>
          <w:tcPr>
            <w:tcW w:type="dxa" w:w="3096"/>
            <w:vAlign w:val="top"/>
            <w:tcMar>
              <w:top w:w="80" w:type="dxa"/>
              <w:start w:w="100" w:type="dxa"/>
              <w:bottom w:w="80" w:type="dxa"/>
              <w:end w:w="100" w:type="dxa"/>
            </w:tcMar>
          </w:tcPr>
          <w:p>
            <w:pPr>
              <w:spacing w:after="0" w:line="240" w:lineRule="auto"/>
            </w:pPr>
            <w:r>
              <w:rPr>
                <w:b/>
                <w:sz w:val="18"/>
              </w:rPr>
              <w:t>Audio/Visual Coordinator</w:t>
            </w:r>
          </w:p>
        </w:tc>
        <w:tc>
          <w:tcPr>
            <w:tcW w:type="dxa" w:w="8208"/>
            <w:vAlign w:val="top"/>
            <w:tcMar>
              <w:top w:w="80" w:type="dxa"/>
              <w:start w:w="100" w:type="dxa"/>
              <w:bottom w:w="80" w:type="dxa"/>
              <w:end w:w="100" w:type="dxa"/>
            </w:tcMar>
          </w:tcPr>
          <w:p>
            <w:pPr>
              <w:spacing w:after="0" w:line="240" w:lineRule="auto"/>
            </w:pPr>
            <w:r>
              <w:rPr>
                <w:sz w:val="18"/>
              </w:rPr>
              <w:t>Monitors presentations, microphones, screens, sound, and other room technology. Works with the hotel AV team to address issues quickly.</w:t>
            </w:r>
          </w:p>
        </w:tc>
      </w:tr>
      <w:tr>
        <w:trPr>
          <w:cantSplit/>
        </w:trPr>
        <w:tc>
          <w:tcPr>
            <w:tcW w:type="dxa" w:w="3096"/>
            <w:vAlign w:val="top"/>
            <w:tcMar>
              <w:top w:w="80" w:type="dxa"/>
              <w:start w:w="100" w:type="dxa"/>
              <w:bottom w:w="80" w:type="dxa"/>
              <w:end w:w="100" w:type="dxa"/>
            </w:tcMar>
          </w:tcPr>
          <w:p>
            <w:pPr>
              <w:spacing w:after="0" w:line="240" w:lineRule="auto"/>
            </w:pPr>
            <w:r>
              <w:rPr>
                <w:b/>
                <w:sz w:val="18"/>
              </w:rPr>
              <w:t>Cvent Coordinator</w:t>
            </w:r>
          </w:p>
        </w:tc>
        <w:tc>
          <w:tcPr>
            <w:tcW w:type="dxa" w:w="8208"/>
            <w:vAlign w:val="top"/>
            <w:tcMar>
              <w:top w:w="80" w:type="dxa"/>
              <w:start w:w="100" w:type="dxa"/>
              <w:bottom w:w="80" w:type="dxa"/>
              <w:end w:w="100" w:type="dxa"/>
            </w:tcMar>
          </w:tcPr>
          <w:p>
            <w:pPr>
              <w:spacing w:after="0" w:line="240" w:lineRule="auto"/>
            </w:pPr>
            <w:r>
              <w:rPr>
                <w:sz w:val="18"/>
              </w:rPr>
              <w:t>Supports onsite Cvent operations, including registration technology, attendee information, syncing, and other Cvent-related issues.</w:t>
            </w:r>
          </w:p>
        </w:tc>
      </w:tr>
      <w:tr>
        <w:trPr>
          <w:cantSplit/>
        </w:trPr>
        <w:tc>
          <w:tcPr>
            <w:tcW w:type="dxa" w:w="3096"/>
            <w:vAlign w:val="top"/>
            <w:tcMar>
              <w:top w:w="80" w:type="dxa"/>
              <w:start w:w="100" w:type="dxa"/>
              <w:bottom w:w="80" w:type="dxa"/>
              <w:end w:w="100" w:type="dxa"/>
            </w:tcMar>
          </w:tcPr>
          <w:p>
            <w:pPr>
              <w:spacing w:after="0" w:line="240" w:lineRule="auto"/>
            </w:pPr>
            <w:r>
              <w:rPr>
                <w:b/>
                <w:sz w:val="18"/>
              </w:rPr>
              <w:t>First Timer Coordinator</w:t>
            </w:r>
          </w:p>
        </w:tc>
        <w:tc>
          <w:tcPr>
            <w:tcW w:type="dxa" w:w="8208"/>
            <w:vAlign w:val="top"/>
            <w:tcMar>
              <w:top w:w="80" w:type="dxa"/>
              <w:start w:w="100" w:type="dxa"/>
              <w:bottom w:w="80" w:type="dxa"/>
              <w:end w:w="100" w:type="dxa"/>
            </w:tcMar>
          </w:tcPr>
          <w:p>
            <w:pPr>
              <w:spacing w:after="0" w:line="240" w:lineRule="auto"/>
            </w:pPr>
            <w:r>
              <w:rPr>
                <w:sz w:val="18"/>
              </w:rPr>
              <w:t>Welcomes first-time attendees, helps them get oriented, answers questions, and helps connect them with other HFMA members.</w:t>
            </w:r>
          </w:p>
        </w:tc>
      </w:tr>
      <w:tr>
        <w:trPr>
          <w:cantSplit/>
        </w:trPr>
        <w:tc>
          <w:tcPr>
            <w:tcW w:type="dxa" w:w="3096"/>
            <w:vAlign w:val="top"/>
            <w:tcMar>
              <w:top w:w="80" w:type="dxa"/>
              <w:start w:w="100" w:type="dxa"/>
              <w:bottom w:w="80" w:type="dxa"/>
              <w:end w:w="100" w:type="dxa"/>
            </w:tcMar>
          </w:tcPr>
          <w:p>
            <w:pPr>
              <w:spacing w:after="0" w:line="240" w:lineRule="auto"/>
            </w:pPr>
            <w:r>
              <w:rPr>
                <w:b/>
                <w:sz w:val="18"/>
              </w:rPr>
              <w:t>Master of Ceremony</w:t>
            </w:r>
          </w:p>
        </w:tc>
        <w:tc>
          <w:tcPr>
            <w:tcW w:type="dxa" w:w="8208"/>
            <w:vAlign w:val="top"/>
            <w:tcMar>
              <w:top w:w="80" w:type="dxa"/>
              <w:start w:w="100" w:type="dxa"/>
              <w:bottom w:w="80" w:type="dxa"/>
              <w:end w:w="100" w:type="dxa"/>
            </w:tcMar>
          </w:tcPr>
          <w:p>
            <w:pPr>
              <w:spacing w:after="0" w:line="240" w:lineRule="auto"/>
            </w:pPr>
            <w:r>
              <w:rPr>
                <w:sz w:val="18"/>
              </w:rPr>
              <w:t>Leads the education program from the stage, makes announcements, manages transitions, engages attendees, and keeps the published agenda on schedule.</w:t>
            </w:r>
          </w:p>
        </w:tc>
      </w:tr>
      <w:tr>
        <w:trPr>
          <w:cantSplit/>
        </w:trPr>
        <w:tc>
          <w:tcPr>
            <w:tcW w:type="dxa" w:w="3096"/>
            <w:vAlign w:val="top"/>
            <w:tcMar>
              <w:top w:w="80" w:type="dxa"/>
              <w:start w:w="100" w:type="dxa"/>
              <w:bottom w:w="80" w:type="dxa"/>
              <w:end w:w="100" w:type="dxa"/>
            </w:tcMar>
          </w:tcPr>
          <w:p>
            <w:pPr>
              <w:spacing w:after="0" w:line="240" w:lineRule="auto"/>
            </w:pPr>
            <w:r>
              <w:rPr>
                <w:b/>
                <w:sz w:val="18"/>
              </w:rPr>
              <w:t>Photographer</w:t>
            </w:r>
          </w:p>
        </w:tc>
        <w:tc>
          <w:tcPr>
            <w:tcW w:type="dxa" w:w="8208"/>
            <w:vAlign w:val="top"/>
            <w:tcMar>
              <w:top w:w="80" w:type="dxa"/>
              <w:start w:w="100" w:type="dxa"/>
              <w:bottom w:w="80" w:type="dxa"/>
              <w:end w:w="100" w:type="dxa"/>
            </w:tcMar>
          </w:tcPr>
          <w:p>
            <w:pPr>
              <w:spacing w:after="0" w:line="240" w:lineRule="auto"/>
            </w:pPr>
            <w:r>
              <w:rPr>
                <w:sz w:val="18"/>
              </w:rPr>
              <w:t>Captures photos of speakers, attendees, sponsors, networking, and other conference activity during the assigned period.</w:t>
            </w:r>
          </w:p>
        </w:tc>
      </w:tr>
      <w:tr>
        <w:trPr>
          <w:cantSplit/>
        </w:trPr>
        <w:tc>
          <w:tcPr>
            <w:tcW w:type="dxa" w:w="3096"/>
            <w:vAlign w:val="top"/>
            <w:tcMar>
              <w:top w:w="80" w:type="dxa"/>
              <w:start w:w="100" w:type="dxa"/>
              <w:bottom w:w="80" w:type="dxa"/>
              <w:end w:w="100" w:type="dxa"/>
            </w:tcMar>
          </w:tcPr>
          <w:p>
            <w:pPr>
              <w:spacing w:after="0" w:line="240" w:lineRule="auto"/>
            </w:pPr>
            <w:r>
              <w:rPr>
                <w:b/>
                <w:sz w:val="18"/>
              </w:rPr>
              <w:t>Registration Committee Coordinator</w:t>
            </w:r>
          </w:p>
        </w:tc>
        <w:tc>
          <w:tcPr>
            <w:tcW w:type="dxa" w:w="8208"/>
            <w:vAlign w:val="top"/>
            <w:tcMar>
              <w:top w:w="80" w:type="dxa"/>
              <w:start w:w="100" w:type="dxa"/>
              <w:bottom w:w="80" w:type="dxa"/>
              <w:end w:w="100" w:type="dxa"/>
            </w:tcMar>
          </w:tcPr>
          <w:p>
            <w:pPr>
              <w:spacing w:after="0" w:line="240" w:lineRule="auto"/>
            </w:pPr>
            <w:r>
              <w:rPr>
                <w:sz w:val="18"/>
              </w:rPr>
              <w:t>Oversees registration operations and serves as the escalation point for registration issues the Registration Supervisor or hosts are unable to resolve.</w:t>
            </w:r>
          </w:p>
        </w:tc>
      </w:tr>
      <w:tr>
        <w:trPr>
          <w:cantSplit/>
        </w:trPr>
        <w:tc>
          <w:tcPr>
            <w:tcW w:type="dxa" w:w="3096"/>
            <w:vAlign w:val="top"/>
            <w:tcMar>
              <w:top w:w="80" w:type="dxa"/>
              <w:start w:w="100" w:type="dxa"/>
              <w:bottom w:w="80" w:type="dxa"/>
              <w:end w:w="100" w:type="dxa"/>
            </w:tcMar>
          </w:tcPr>
          <w:p>
            <w:pPr>
              <w:spacing w:after="0" w:line="240" w:lineRule="auto"/>
            </w:pPr>
            <w:r>
              <w:rPr>
                <w:b/>
                <w:sz w:val="18"/>
              </w:rPr>
              <w:t>Registration Supervisor</w:t>
            </w:r>
          </w:p>
        </w:tc>
        <w:tc>
          <w:tcPr>
            <w:tcW w:type="dxa" w:w="8208"/>
            <w:vAlign w:val="top"/>
            <w:tcMar>
              <w:top w:w="80" w:type="dxa"/>
              <w:start w:w="100" w:type="dxa"/>
              <w:bottom w:w="80" w:type="dxa"/>
              <w:end w:w="100" w:type="dxa"/>
            </w:tcMar>
          </w:tcPr>
          <w:p>
            <w:pPr>
              <w:spacing w:after="0" w:line="240" w:lineRule="auto"/>
            </w:pPr>
            <w:r>
              <w:rPr>
                <w:sz w:val="18"/>
              </w:rPr>
              <w:t>Leads the registration desk during the assigned period, supports Registration Hosts, watches registration flow, and handles registration issues.</w:t>
            </w:r>
          </w:p>
        </w:tc>
      </w:tr>
      <w:tr>
        <w:trPr>
          <w:cantSplit/>
        </w:trPr>
        <w:tc>
          <w:tcPr>
            <w:tcW w:type="dxa" w:w="3096"/>
            <w:vAlign w:val="top"/>
            <w:tcMar>
              <w:top w:w="80" w:type="dxa"/>
              <w:start w:w="100" w:type="dxa"/>
              <w:bottom w:w="80" w:type="dxa"/>
              <w:end w:w="100" w:type="dxa"/>
            </w:tcMar>
          </w:tcPr>
          <w:p>
            <w:pPr>
              <w:spacing w:after="0" w:line="240" w:lineRule="auto"/>
            </w:pPr>
            <w:r>
              <w:rPr>
                <w:b/>
                <w:sz w:val="18"/>
              </w:rPr>
              <w:t>Registration Host</w:t>
            </w:r>
          </w:p>
        </w:tc>
        <w:tc>
          <w:tcPr>
            <w:tcW w:type="dxa" w:w="8208"/>
            <w:vAlign w:val="top"/>
            <w:tcMar>
              <w:top w:w="80" w:type="dxa"/>
              <w:start w:w="100" w:type="dxa"/>
              <w:bottom w:w="80" w:type="dxa"/>
              <w:end w:w="100" w:type="dxa"/>
            </w:tcMar>
          </w:tcPr>
          <w:p>
            <w:pPr>
              <w:spacing w:after="0" w:line="240" w:lineRule="auto"/>
            </w:pPr>
            <w:r>
              <w:rPr>
                <w:sz w:val="18"/>
              </w:rPr>
              <w:t>Welcomes attendees, assists with check-in and badges, answers basic conference questions, and directs more complex issues to the Registration Supervisor.</w:t>
            </w:r>
          </w:p>
        </w:tc>
      </w:tr>
      <w:tr>
        <w:trPr>
          <w:cantSplit/>
        </w:trPr>
        <w:tc>
          <w:tcPr>
            <w:tcW w:type="dxa" w:w="3096"/>
            <w:vAlign w:val="top"/>
            <w:tcMar>
              <w:top w:w="80" w:type="dxa"/>
              <w:start w:w="100" w:type="dxa"/>
              <w:bottom w:w="80" w:type="dxa"/>
              <w:end w:w="100" w:type="dxa"/>
            </w:tcMar>
          </w:tcPr>
          <w:p>
            <w:pPr>
              <w:spacing w:after="0" w:line="240" w:lineRule="auto"/>
            </w:pPr>
            <w:r>
              <w:rPr>
                <w:b/>
                <w:sz w:val="18"/>
              </w:rPr>
              <w:t>Setup Crew</w:t>
            </w:r>
          </w:p>
        </w:tc>
        <w:tc>
          <w:tcPr>
            <w:tcW w:type="dxa" w:w="8208"/>
            <w:vAlign w:val="top"/>
            <w:tcMar>
              <w:top w:w="80" w:type="dxa"/>
              <w:start w:w="100" w:type="dxa"/>
              <w:bottom w:w="80" w:type="dxa"/>
              <w:end w:w="100" w:type="dxa"/>
            </w:tcMar>
          </w:tcPr>
          <w:p>
            <w:pPr>
              <w:spacing w:after="0" w:line="240" w:lineRule="auto"/>
            </w:pPr>
            <w:r>
              <w:rPr>
                <w:sz w:val="18"/>
              </w:rPr>
              <w:t>Helps prepare conference areas before activities begin, including signs, materials, registration supplies, tables, and other conference items.</w:t>
            </w:r>
          </w:p>
        </w:tc>
      </w:tr>
      <w:tr>
        <w:trPr>
          <w:cantSplit/>
        </w:trPr>
        <w:tc>
          <w:tcPr>
            <w:tcW w:type="dxa" w:w="3096"/>
            <w:vAlign w:val="top"/>
            <w:tcMar>
              <w:top w:w="80" w:type="dxa"/>
              <w:start w:w="100" w:type="dxa"/>
              <w:bottom w:w="80" w:type="dxa"/>
              <w:end w:w="100" w:type="dxa"/>
            </w:tcMar>
          </w:tcPr>
          <w:p>
            <w:pPr>
              <w:spacing w:after="0" w:line="240" w:lineRule="auto"/>
            </w:pPr>
            <w:r>
              <w:rPr>
                <w:b/>
                <w:sz w:val="18"/>
              </w:rPr>
              <w:t>Signs &amp; Sponsorship Coordinator</w:t>
            </w:r>
          </w:p>
        </w:tc>
        <w:tc>
          <w:tcPr>
            <w:tcW w:type="dxa" w:w="8208"/>
            <w:vAlign w:val="top"/>
            <w:tcMar>
              <w:top w:w="80" w:type="dxa"/>
              <w:start w:w="100" w:type="dxa"/>
              <w:bottom w:w="80" w:type="dxa"/>
              <w:end w:w="100" w:type="dxa"/>
            </w:tcMar>
          </w:tcPr>
          <w:p>
            <w:pPr>
              <w:spacing w:after="0" w:line="240" w:lineRule="auto"/>
            </w:pPr>
            <w:r>
              <w:rPr>
                <w:sz w:val="18"/>
              </w:rPr>
              <w:t>Checks conference signage and sponsor recognition, makes sure the correct sponsor signs are displayed, and communicates sponsorship issues to the Sponsorship team.</w:t>
            </w:r>
          </w:p>
        </w:tc>
      </w:tr>
      <w:tr>
        <w:trPr>
          <w:cantSplit/>
        </w:trPr>
        <w:tc>
          <w:tcPr>
            <w:tcW w:type="dxa" w:w="3096"/>
            <w:vAlign w:val="top"/>
            <w:tcMar>
              <w:top w:w="80" w:type="dxa"/>
              <w:start w:w="100" w:type="dxa"/>
              <w:bottom w:w="80" w:type="dxa"/>
              <w:end w:w="100" w:type="dxa"/>
            </w:tcMar>
          </w:tcPr>
          <w:p>
            <w:pPr>
              <w:spacing w:after="0" w:line="240" w:lineRule="auto"/>
            </w:pPr>
            <w:r>
              <w:rPr>
                <w:b/>
                <w:sz w:val="18"/>
              </w:rPr>
              <w:t>Social Media Live</w:t>
            </w:r>
          </w:p>
        </w:tc>
        <w:tc>
          <w:tcPr>
            <w:tcW w:type="dxa" w:w="8208"/>
            <w:vAlign w:val="top"/>
            <w:tcMar>
              <w:top w:w="80" w:type="dxa"/>
              <w:start w:w="100" w:type="dxa"/>
              <w:bottom w:w="80" w:type="dxa"/>
              <w:end w:w="100" w:type="dxa"/>
            </w:tcMar>
          </w:tcPr>
          <w:p>
            <w:pPr>
              <w:spacing w:after="0" w:line="240" w:lineRule="auto"/>
            </w:pPr>
            <w:r>
              <w:rPr>
                <w:sz w:val="18"/>
              </w:rPr>
              <w:t>Captures appropriate conference moments and provides live social media content during the assigned period.</w:t>
            </w:r>
          </w:p>
        </w:tc>
      </w:tr>
      <w:tr>
        <w:trPr>
          <w:cantSplit/>
        </w:trPr>
        <w:tc>
          <w:tcPr>
            <w:tcW w:type="dxa" w:w="3096"/>
            <w:vAlign w:val="top"/>
            <w:tcMar>
              <w:top w:w="80" w:type="dxa"/>
              <w:start w:w="100" w:type="dxa"/>
              <w:bottom w:w="80" w:type="dxa"/>
              <w:end w:w="100" w:type="dxa"/>
            </w:tcMar>
          </w:tcPr>
          <w:p>
            <w:pPr>
              <w:spacing w:after="0" w:line="240" w:lineRule="auto"/>
            </w:pPr>
            <w:r>
              <w:rPr>
                <w:b/>
                <w:sz w:val="18"/>
              </w:rPr>
              <w:t>Vendor Game Lead</w:t>
            </w:r>
          </w:p>
        </w:tc>
        <w:tc>
          <w:tcPr>
            <w:tcW w:type="dxa" w:w="8208"/>
            <w:vAlign w:val="top"/>
            <w:tcMar>
              <w:top w:w="80" w:type="dxa"/>
              <w:start w:w="100" w:type="dxa"/>
              <w:bottom w:w="80" w:type="dxa"/>
              <w:end w:w="100" w:type="dxa"/>
            </w:tcMar>
          </w:tcPr>
          <w:p>
            <w:pPr>
              <w:spacing w:after="0" w:line="240" w:lineRule="auto"/>
            </w:pPr>
            <w:r>
              <w:rPr>
                <w:sz w:val="18"/>
              </w:rPr>
              <w:t>Oversees Sponsor Spotlight, explains the game to attendees, supports exhibitors, verifies completed participation requirements, and coordinates the prize process.</w:t>
            </w:r>
          </w:p>
        </w:tc>
      </w:tr>
      <w:tr>
        <w:trPr>
          <w:cantSplit/>
        </w:trPr>
        <w:tc>
          <w:tcPr>
            <w:tcW w:type="dxa" w:w="3096"/>
            <w:vAlign w:val="top"/>
            <w:tcMar>
              <w:top w:w="80" w:type="dxa"/>
              <w:start w:w="100" w:type="dxa"/>
              <w:bottom w:w="80" w:type="dxa"/>
              <w:end w:w="100" w:type="dxa"/>
            </w:tcMar>
          </w:tcPr>
          <w:p>
            <w:pPr>
              <w:spacing w:after="0" w:line="240" w:lineRule="auto"/>
            </w:pPr>
            <w:r>
              <w:rPr>
                <w:b/>
                <w:sz w:val="18"/>
              </w:rPr>
              <w:t>Vendor Game Assistant</w:t>
            </w:r>
          </w:p>
        </w:tc>
        <w:tc>
          <w:tcPr>
            <w:tcW w:type="dxa" w:w="8208"/>
            <w:vAlign w:val="top"/>
            <w:tcMar>
              <w:top w:w="80" w:type="dxa"/>
              <w:start w:w="100" w:type="dxa"/>
              <w:bottom w:w="80" w:type="dxa"/>
              <w:end w:w="100" w:type="dxa"/>
            </w:tcMar>
          </w:tcPr>
          <w:p>
            <w:pPr>
              <w:spacing w:after="0" w:line="240" w:lineRule="auto"/>
            </w:pPr>
            <w:r>
              <w:rPr>
                <w:sz w:val="18"/>
              </w:rPr>
              <w:t>Supports the Vendor Game Lead, answers Sponsor Spotlight questions, assists attendees, and helps manage completed entries and prizes.</w:t>
            </w:r>
          </w:p>
        </w:tc>
      </w:tr>
      <w:tr>
        <w:trPr>
          <w:cantSplit/>
        </w:trPr>
        <w:tc>
          <w:tcPr>
            <w:tcW w:type="dxa" w:w="3096"/>
            <w:vAlign w:val="top"/>
            <w:tcMar>
              <w:top w:w="80" w:type="dxa"/>
              <w:start w:w="100" w:type="dxa"/>
              <w:bottom w:w="80" w:type="dxa"/>
              <w:end w:w="100" w:type="dxa"/>
            </w:tcMar>
          </w:tcPr>
          <w:p>
            <w:pPr>
              <w:spacing w:after="0" w:line="240" w:lineRule="auto"/>
            </w:pPr>
            <w:r>
              <w:rPr>
                <w:b/>
                <w:sz w:val="18"/>
              </w:rPr>
              <w:t>Session Captain</w:t>
            </w:r>
          </w:p>
        </w:tc>
        <w:tc>
          <w:tcPr>
            <w:tcW w:type="dxa" w:w="8208"/>
            <w:vAlign w:val="top"/>
            <w:tcMar>
              <w:top w:w="80" w:type="dxa"/>
              <w:start w:w="100" w:type="dxa"/>
              <w:bottom w:w="80" w:type="dxa"/>
              <w:end w:w="100" w:type="dxa"/>
            </w:tcMar>
          </w:tcPr>
          <w:p>
            <w:pPr>
              <w:spacing w:after="0" w:line="240" w:lineRule="auto"/>
            </w:pPr>
            <w:r>
              <w:rPr>
                <w:sz w:val="18"/>
              </w:rPr>
              <w:t>Serves as the lead volunteer for an education session. Locates the entire education team before the session, confirms speakers are ready, coordinates the team, and protects the published agenda.</w:t>
            </w:r>
          </w:p>
        </w:tc>
      </w:tr>
      <w:tr>
        <w:trPr>
          <w:cantSplit/>
        </w:trPr>
        <w:tc>
          <w:tcPr>
            <w:tcW w:type="dxa" w:w="3096"/>
            <w:vAlign w:val="top"/>
            <w:tcMar>
              <w:top w:w="80" w:type="dxa"/>
              <w:start w:w="100" w:type="dxa"/>
              <w:bottom w:w="80" w:type="dxa"/>
              <w:end w:w="100" w:type="dxa"/>
            </w:tcMar>
          </w:tcPr>
          <w:p>
            <w:pPr>
              <w:spacing w:after="0" w:line="240" w:lineRule="auto"/>
            </w:pPr>
            <w:r>
              <w:rPr>
                <w:b/>
                <w:sz w:val="18"/>
              </w:rPr>
              <w:t>Speaker Handler</w:t>
            </w:r>
          </w:p>
        </w:tc>
        <w:tc>
          <w:tcPr>
            <w:tcW w:type="dxa" w:w="8208"/>
            <w:vAlign w:val="top"/>
            <w:tcMar>
              <w:top w:w="80" w:type="dxa"/>
              <w:start w:w="100" w:type="dxa"/>
              <w:bottom w:w="80" w:type="dxa"/>
              <w:end w:w="100" w:type="dxa"/>
            </w:tcMar>
          </w:tcPr>
          <w:p>
            <w:pPr>
              <w:spacing w:after="0" w:line="240" w:lineRule="auto"/>
            </w:pPr>
            <w:r>
              <w:rPr>
                <w:sz w:val="18"/>
              </w:rPr>
              <w:t>Locates the speaker or panelists before the session, helps with immediate needs, confirms they know where to go, and keeps the Session Captain informed.</w:t>
            </w:r>
          </w:p>
        </w:tc>
      </w:tr>
      <w:tr>
        <w:trPr>
          <w:cantSplit/>
        </w:trPr>
        <w:tc>
          <w:tcPr>
            <w:tcW w:type="dxa" w:w="3096"/>
            <w:vAlign w:val="top"/>
            <w:tcMar>
              <w:top w:w="80" w:type="dxa"/>
              <w:start w:w="100" w:type="dxa"/>
              <w:bottom w:w="80" w:type="dxa"/>
              <w:end w:w="100" w:type="dxa"/>
            </w:tcMar>
          </w:tcPr>
          <w:p>
            <w:pPr>
              <w:spacing w:after="0" w:line="240" w:lineRule="auto"/>
            </w:pPr>
            <w:r>
              <w:rPr>
                <w:b/>
                <w:sz w:val="18"/>
              </w:rPr>
              <w:t>Speaker Introducer</w:t>
            </w:r>
          </w:p>
        </w:tc>
        <w:tc>
          <w:tcPr>
            <w:tcW w:type="dxa" w:w="8208"/>
            <w:vAlign w:val="top"/>
            <w:tcMar>
              <w:top w:w="80" w:type="dxa"/>
              <w:start w:w="100" w:type="dxa"/>
              <w:bottom w:w="80" w:type="dxa"/>
              <w:end w:w="100" w:type="dxa"/>
            </w:tcMar>
          </w:tcPr>
          <w:p>
            <w:pPr>
              <w:spacing w:after="0" w:line="240" w:lineRule="auto"/>
            </w:pPr>
            <w:r>
              <w:rPr>
                <w:sz w:val="18"/>
              </w:rPr>
              <w:t>Picks up the prepared introduction from the HFMA Help Desk and delivers the speaker or panel introduction immediately before the session begins.</w:t>
            </w:r>
          </w:p>
        </w:tc>
      </w:tr>
      <w:tr>
        <w:trPr>
          <w:cantSplit/>
        </w:trPr>
        <w:tc>
          <w:tcPr>
            <w:tcW w:type="dxa" w:w="3096"/>
            <w:vAlign w:val="top"/>
            <w:tcMar>
              <w:top w:w="80" w:type="dxa"/>
              <w:start w:w="100" w:type="dxa"/>
              <w:bottom w:w="80" w:type="dxa"/>
              <w:end w:w="100" w:type="dxa"/>
            </w:tcMar>
          </w:tcPr>
          <w:p>
            <w:pPr>
              <w:spacing w:after="0" w:line="240" w:lineRule="auto"/>
            </w:pPr>
            <w:r>
              <w:rPr>
                <w:b/>
                <w:sz w:val="18"/>
              </w:rPr>
              <w:t>Cvent Attendee Hub Moderator</w:t>
            </w:r>
          </w:p>
        </w:tc>
        <w:tc>
          <w:tcPr>
            <w:tcW w:type="dxa" w:w="8208"/>
            <w:vAlign w:val="top"/>
            <w:tcMar>
              <w:top w:w="80" w:type="dxa"/>
              <w:start w:w="100" w:type="dxa"/>
              <w:bottom w:w="80" w:type="dxa"/>
              <w:end w:w="100" w:type="dxa"/>
            </w:tcMar>
          </w:tcPr>
          <w:p>
            <w:pPr>
              <w:spacing w:after="0" w:line="240" w:lineRule="auto"/>
            </w:pPr>
            <w:r>
              <w:rPr>
                <w:sz w:val="18"/>
              </w:rPr>
              <w:t>Monitors the education session through the Cvent Attendee Hub and handles session-related app responsibilities.</w:t>
            </w:r>
          </w:p>
        </w:tc>
      </w:tr>
      <w:tr>
        <w:trPr>
          <w:cantSplit/>
        </w:trPr>
        <w:tc>
          <w:tcPr>
            <w:tcW w:type="dxa" w:w="3096"/>
            <w:vAlign w:val="top"/>
            <w:tcMar>
              <w:top w:w="80" w:type="dxa"/>
              <w:start w:w="100" w:type="dxa"/>
              <w:bottom w:w="80" w:type="dxa"/>
              <w:end w:w="100" w:type="dxa"/>
            </w:tcMar>
          </w:tcPr>
          <w:p>
            <w:pPr>
              <w:spacing w:after="0" w:line="240" w:lineRule="auto"/>
            </w:pPr>
            <w:r>
              <w:rPr>
                <w:b/>
                <w:sz w:val="18"/>
              </w:rPr>
              <w:t>HFMA Help Desk</w:t>
            </w:r>
          </w:p>
        </w:tc>
        <w:tc>
          <w:tcPr>
            <w:tcW w:type="dxa" w:w="8208"/>
            <w:vAlign w:val="top"/>
            <w:tcMar>
              <w:top w:w="80" w:type="dxa"/>
              <w:start w:w="100" w:type="dxa"/>
              <w:bottom w:w="80" w:type="dxa"/>
              <w:end w:w="100" w:type="dxa"/>
            </w:tcMar>
          </w:tcPr>
          <w:p>
            <w:pPr>
              <w:spacing w:after="0" w:line="240" w:lineRule="auto"/>
            </w:pPr>
            <w:r>
              <w:rPr>
                <w:sz w:val="18"/>
              </w:rPr>
              <w:t>Provides attendees with general HFMA, conference, and logistical assistance inside the Grand Ballroom. Also serves as the pickup point for speaker introductions and speaker gifts.</w:t>
            </w:r>
          </w:p>
        </w:tc>
      </w:tr>
      <w:tr>
        <w:trPr>
          <w:cantSplit/>
        </w:trPr>
        <w:tc>
          <w:tcPr>
            <w:tcW w:type="dxa" w:w="3096"/>
            <w:vAlign w:val="top"/>
            <w:tcMar>
              <w:top w:w="80" w:type="dxa"/>
              <w:start w:w="100" w:type="dxa"/>
              <w:bottom w:w="80" w:type="dxa"/>
              <w:end w:w="100" w:type="dxa"/>
            </w:tcMar>
          </w:tcPr>
          <w:p>
            <w:pPr>
              <w:spacing w:after="0" w:line="240" w:lineRule="auto"/>
            </w:pPr>
            <w:r>
              <w:rPr>
                <w:b/>
                <w:sz w:val="18"/>
              </w:rPr>
              <w:t>Provider Breakfast Coordinator</w:t>
            </w:r>
          </w:p>
        </w:tc>
        <w:tc>
          <w:tcPr>
            <w:tcW w:type="dxa" w:w="8208"/>
            <w:vAlign w:val="top"/>
            <w:tcMar>
              <w:top w:w="80" w:type="dxa"/>
              <w:start w:w="100" w:type="dxa"/>
              <w:bottom w:w="80" w:type="dxa"/>
              <w:end w:w="100" w:type="dxa"/>
            </w:tcMar>
          </w:tcPr>
          <w:p>
            <w:pPr>
              <w:spacing w:after="0" w:line="240" w:lineRule="auto"/>
            </w:pPr>
            <w:r>
              <w:rPr>
                <w:sz w:val="18"/>
              </w:rPr>
              <w:t>Oversees the Providers Lifting Providers Breakfast, helps prepare the Lafayette Room, supports the hosts, and keeps the provider-only activity organized.</w:t>
            </w:r>
          </w:p>
        </w:tc>
      </w:tr>
      <w:tr>
        <w:trPr>
          <w:cantSplit/>
        </w:trPr>
        <w:tc>
          <w:tcPr>
            <w:tcW w:type="dxa" w:w="3096"/>
            <w:vAlign w:val="top"/>
            <w:tcMar>
              <w:top w:w="80" w:type="dxa"/>
              <w:start w:w="100" w:type="dxa"/>
              <w:bottom w:w="80" w:type="dxa"/>
              <w:end w:w="100" w:type="dxa"/>
            </w:tcMar>
          </w:tcPr>
          <w:p>
            <w:pPr>
              <w:spacing w:after="0" w:line="240" w:lineRule="auto"/>
            </w:pPr>
            <w:r>
              <w:rPr>
                <w:b/>
                <w:sz w:val="18"/>
              </w:rPr>
              <w:t>Provider Breakfast Host</w:t>
            </w:r>
          </w:p>
        </w:tc>
        <w:tc>
          <w:tcPr>
            <w:tcW w:type="dxa" w:w="8208"/>
            <w:vAlign w:val="top"/>
            <w:tcMar>
              <w:top w:w="80" w:type="dxa"/>
              <w:start w:w="100" w:type="dxa"/>
              <w:bottom w:w="80" w:type="dxa"/>
              <w:end w:w="100" w:type="dxa"/>
            </w:tcMar>
          </w:tcPr>
          <w:p>
            <w:pPr>
              <w:spacing w:after="0" w:line="240" w:lineRule="auto"/>
            </w:pPr>
            <w:r>
              <w:rPr>
                <w:sz w:val="18"/>
              </w:rPr>
              <w:t>Welcomes provider attendees, encourages conversation and participation, and helps create a productive provider-to-provider environment.</w:t>
            </w:r>
          </w:p>
        </w:tc>
      </w:tr>
      <w:tr>
        <w:trPr>
          <w:cantSplit/>
        </w:trPr>
        <w:tc>
          <w:tcPr>
            <w:tcW w:type="dxa" w:w="3096"/>
            <w:vAlign w:val="top"/>
            <w:tcMar>
              <w:top w:w="80" w:type="dxa"/>
              <w:start w:w="100" w:type="dxa"/>
              <w:bottom w:w="80" w:type="dxa"/>
              <w:end w:w="100" w:type="dxa"/>
            </w:tcMar>
          </w:tcPr>
          <w:p>
            <w:pPr>
              <w:spacing w:after="0" w:line="240" w:lineRule="auto"/>
            </w:pPr>
            <w:r>
              <w:rPr>
                <w:b/>
                <w:sz w:val="18"/>
              </w:rPr>
              <w:t>Close-Out Crew</w:t>
            </w:r>
          </w:p>
        </w:tc>
        <w:tc>
          <w:tcPr>
            <w:tcW w:type="dxa" w:w="8208"/>
            <w:vAlign w:val="top"/>
            <w:tcMar>
              <w:top w:w="80" w:type="dxa"/>
              <w:start w:w="100" w:type="dxa"/>
              <w:bottom w:w="80" w:type="dxa"/>
              <w:end w:w="100" w:type="dxa"/>
            </w:tcMar>
          </w:tcPr>
          <w:p>
            <w:pPr>
              <w:spacing w:after="0" w:line="240" w:lineRule="auto"/>
            </w:pPr>
            <w:r>
              <w:rPr>
                <w:sz w:val="18"/>
              </w:rPr>
              <w:t>Helps reset the conference area after programming, collects materials and signage, organizes supplies, and makes sure conference property is accounted for.</w:t>
            </w:r>
          </w:p>
        </w:tc>
      </w:tr>
      <w:tr>
        <w:trPr>
          <w:cantSplit/>
        </w:trPr>
        <w:tc>
          <w:tcPr>
            <w:tcW w:type="dxa" w:w="3096"/>
            <w:vAlign w:val="top"/>
            <w:tcMar>
              <w:top w:w="80" w:type="dxa"/>
              <w:start w:w="100" w:type="dxa"/>
              <w:bottom w:w="80" w:type="dxa"/>
              <w:end w:w="100" w:type="dxa"/>
            </w:tcMar>
          </w:tcPr>
          <w:p>
            <w:pPr>
              <w:spacing w:after="0" w:line="240" w:lineRule="auto"/>
            </w:pPr>
            <w:r>
              <w:rPr>
                <w:b/>
                <w:sz w:val="18"/>
              </w:rPr>
              <w:t>Ghost Tour Lead</w:t>
            </w:r>
          </w:p>
        </w:tc>
        <w:tc>
          <w:tcPr>
            <w:tcW w:type="dxa" w:w="8208"/>
            <w:vAlign w:val="top"/>
            <w:tcMar>
              <w:top w:w="80" w:type="dxa"/>
              <w:start w:w="100" w:type="dxa"/>
              <w:bottom w:w="80" w:type="dxa"/>
              <w:end w:w="100" w:type="dxa"/>
            </w:tcMar>
          </w:tcPr>
          <w:p>
            <w:pPr>
              <w:spacing w:after="0" w:line="240" w:lineRule="auto"/>
            </w:pPr>
            <w:r>
              <w:rPr>
                <w:sz w:val="18"/>
              </w:rPr>
              <w:t>Coordinates conference-side preparation for the Ghost Tour, confirms registered attendees know where to meet, and helps organize the group before departure.</w:t>
            </w:r>
          </w:p>
        </w:tc>
      </w:tr>
      <w:tr>
        <w:trPr>
          <w:cantSplit/>
        </w:trPr>
        <w:tc>
          <w:tcPr>
            <w:tcW w:type="dxa" w:w="3096"/>
            <w:vAlign w:val="top"/>
            <w:tcMar>
              <w:top w:w="80" w:type="dxa"/>
              <w:start w:w="100" w:type="dxa"/>
              <w:bottom w:w="80" w:type="dxa"/>
              <w:end w:w="100" w:type="dxa"/>
            </w:tcMar>
          </w:tcPr>
          <w:p>
            <w:pPr>
              <w:spacing w:after="0" w:line="240" w:lineRule="auto"/>
            </w:pPr>
            <w:r>
              <w:rPr>
                <w:b/>
                <w:sz w:val="18"/>
              </w:rPr>
              <w:t>Ghost Tour Guide</w:t>
            </w:r>
          </w:p>
        </w:tc>
        <w:tc>
          <w:tcPr>
            <w:tcW w:type="dxa" w:w="8208"/>
            <w:vAlign w:val="top"/>
            <w:tcMar>
              <w:top w:w="80" w:type="dxa"/>
              <w:start w:w="100" w:type="dxa"/>
              <w:bottom w:w="80" w:type="dxa"/>
              <w:end w:w="100" w:type="dxa"/>
            </w:tcMar>
          </w:tcPr>
          <w:p>
            <w:pPr>
              <w:spacing w:after="0" w:line="240" w:lineRule="auto"/>
            </w:pPr>
            <w:r>
              <w:rPr>
                <w:sz w:val="18"/>
              </w:rPr>
              <w:t>Helps gather and move attendees to the tour meeting point, keeps the group together, answers logistical questions, and helps with the transition to the tour operator.</w:t>
            </w:r>
          </w:p>
        </w:tc>
      </w:tr>
      <w:tr>
        <w:trPr>
          <w:cantSplit/>
        </w:trPr>
        <w:tc>
          <w:tcPr>
            <w:tcW w:type="dxa" w:w="3096"/>
            <w:vAlign w:val="top"/>
            <w:tcMar>
              <w:top w:w="80" w:type="dxa"/>
              <w:start w:w="100" w:type="dxa"/>
              <w:bottom w:w="80" w:type="dxa"/>
              <w:end w:w="100" w:type="dxa"/>
            </w:tcMar>
          </w:tcPr>
          <w:p>
            <w:pPr>
              <w:spacing w:after="0" w:line="240" w:lineRule="auto"/>
            </w:pPr>
            <w:r>
              <w:rPr>
                <w:b/>
                <w:sz w:val="18"/>
              </w:rPr>
              <w:t>Ghost Tour Lead, Off-Site Activity</w:t>
            </w:r>
          </w:p>
        </w:tc>
        <w:tc>
          <w:tcPr>
            <w:tcW w:type="dxa" w:w="8208"/>
            <w:vAlign w:val="top"/>
            <w:tcMar>
              <w:top w:w="80" w:type="dxa"/>
              <w:start w:w="100" w:type="dxa"/>
              <w:bottom w:w="80" w:type="dxa"/>
              <w:end w:w="100" w:type="dxa"/>
            </w:tcMar>
          </w:tcPr>
          <w:p>
            <w:pPr>
              <w:spacing w:after="0" w:line="240" w:lineRule="auto"/>
            </w:pPr>
            <w:r>
              <w:rPr>
                <w:sz w:val="18"/>
              </w:rPr>
              <w:t>Serves as the HFMA point person once the Ghost Tour group leaves the hotel and remains available for attendee or logistical issues during the activity.</w:t>
            </w:r>
          </w:p>
        </w:tc>
      </w:tr>
      <w:tr>
        <w:trPr>
          <w:cantSplit/>
        </w:trPr>
        <w:tc>
          <w:tcPr>
            <w:tcW w:type="dxa" w:w="3096"/>
            <w:vAlign w:val="top"/>
            <w:tcMar>
              <w:top w:w="80" w:type="dxa"/>
              <w:start w:w="100" w:type="dxa"/>
              <w:bottom w:w="80" w:type="dxa"/>
              <w:end w:w="100" w:type="dxa"/>
            </w:tcMar>
          </w:tcPr>
          <w:p>
            <w:pPr>
              <w:spacing w:after="0" w:line="240" w:lineRule="auto"/>
            </w:pPr>
            <w:r>
              <w:rPr>
                <w:b/>
                <w:sz w:val="18"/>
              </w:rPr>
              <w:t>Ghost Tour Photographer</w:t>
            </w:r>
          </w:p>
        </w:tc>
        <w:tc>
          <w:tcPr>
            <w:tcW w:type="dxa" w:w="8208"/>
            <w:vAlign w:val="top"/>
            <w:tcMar>
              <w:top w:w="80" w:type="dxa"/>
              <w:start w:w="100" w:type="dxa"/>
              <w:bottom w:w="80" w:type="dxa"/>
              <w:end w:w="100" w:type="dxa"/>
            </w:tcMar>
          </w:tcPr>
          <w:p>
            <w:pPr>
              <w:spacing w:after="0" w:line="240" w:lineRule="auto"/>
            </w:pPr>
            <w:r>
              <w:rPr>
                <w:sz w:val="18"/>
              </w:rPr>
              <w:t>Travels with the Ghost Tour group and captures photos of the off-site experience.</w:t>
            </w:r>
          </w:p>
        </w:tc>
      </w:tr>
      <w:tr>
        <w:trPr>
          <w:cantSplit/>
        </w:trPr>
        <w:tc>
          <w:tcPr>
            <w:tcW w:type="dxa" w:w="3096"/>
            <w:vAlign w:val="top"/>
            <w:tcMar>
              <w:top w:w="80" w:type="dxa"/>
              <w:start w:w="100" w:type="dxa"/>
              <w:bottom w:w="80" w:type="dxa"/>
              <w:end w:w="100" w:type="dxa"/>
            </w:tcMar>
          </w:tcPr>
          <w:p>
            <w:pPr>
              <w:spacing w:after="0" w:line="240" w:lineRule="auto"/>
            </w:pPr>
            <w:r>
              <w:rPr>
                <w:b/>
                <w:sz w:val="18"/>
              </w:rPr>
              <w:t>Hurricanes &amp; Handshakes Lead</w:t>
            </w:r>
          </w:p>
        </w:tc>
        <w:tc>
          <w:tcPr>
            <w:tcW w:type="dxa" w:w="8208"/>
            <w:vAlign w:val="top"/>
            <w:tcMar>
              <w:top w:w="80" w:type="dxa"/>
              <w:start w:w="100" w:type="dxa"/>
              <w:bottom w:w="80" w:type="dxa"/>
              <w:end w:w="100" w:type="dxa"/>
            </w:tcMar>
          </w:tcPr>
          <w:p>
            <w:pPr>
              <w:spacing w:after="0" w:line="240" w:lineRule="auto"/>
            </w:pPr>
            <w:r>
              <w:rPr>
                <w:sz w:val="18"/>
              </w:rPr>
              <w:t>Serves as the primary HFMA point person for the Pat O'Brien's reception and handles onsite questions or operational issues.</w:t>
            </w:r>
          </w:p>
        </w:tc>
      </w:tr>
      <w:tr>
        <w:trPr>
          <w:cantSplit/>
        </w:trPr>
        <w:tc>
          <w:tcPr>
            <w:tcW w:type="dxa" w:w="3096"/>
            <w:vAlign w:val="top"/>
            <w:tcMar>
              <w:top w:w="80" w:type="dxa"/>
              <w:start w:w="100" w:type="dxa"/>
              <w:bottom w:w="80" w:type="dxa"/>
              <w:end w:w="100" w:type="dxa"/>
            </w:tcMar>
          </w:tcPr>
          <w:p>
            <w:pPr>
              <w:spacing w:after="0" w:line="240" w:lineRule="auto"/>
            </w:pPr>
            <w:r>
              <w:rPr>
                <w:b/>
                <w:sz w:val="18"/>
              </w:rPr>
              <w:t>Hurricane Helper</w:t>
            </w:r>
          </w:p>
        </w:tc>
        <w:tc>
          <w:tcPr>
            <w:tcW w:type="dxa" w:w="8208"/>
            <w:vAlign w:val="top"/>
            <w:tcMar>
              <w:top w:w="80" w:type="dxa"/>
              <w:start w:w="100" w:type="dxa"/>
              <w:bottom w:w="80" w:type="dxa"/>
              <w:end w:w="100" w:type="dxa"/>
            </w:tcMar>
          </w:tcPr>
          <w:p>
            <w:pPr>
              <w:spacing w:after="0" w:line="240" w:lineRule="auto"/>
            </w:pPr>
            <w:r>
              <w:rPr>
                <w:sz w:val="18"/>
              </w:rPr>
              <w:t>Welcomes attendees at Hurricanes &amp; Handshakes, helps direct guests, answers basic questions, and supports the event lead as needed.</w:t>
            </w:r>
          </w:p>
        </w:tc>
      </w:tr>
    </w:tbl>
    <w:p>
      <w:pPr>
        <w:pStyle w:val="Heading1"/>
      </w:pPr>
      <w:r>
        <w:t>Conference Support Functions</w:t>
      </w:r>
    </w:p>
    <w:p>
      <w:r>
        <w:rPr>
          <w:i/>
        </w:rPr>
        <w:t>These two functions support the volunteer program but are not counted as separate recurring volunteer positions.</w:t>
      </w:r>
    </w:p>
    <w:tbl>
      <w:tblPr>
        <w:tblStyle w:val="TableGrid"/>
        <w:tblW w:type="auto" w:w="0"/>
        <w:jc w:val="center"/>
        <w:tblLayout w:type="fixed"/>
        <w:tblLook w:firstColumn="1" w:firstRow="1" w:lastColumn="0" w:lastRow="0" w:noHBand="0" w:noVBand="1" w:val="04A0"/>
      </w:tblPr>
      <w:tblGrid>
        <w:gridCol w:w="5256"/>
        <w:gridCol w:w="5256"/>
      </w:tblGrid>
      <w:tr>
        <w:trPr>
          <w:tblHeader w:val="true"/>
          <w:cantSplit/>
        </w:trPr>
        <w:tc>
          <w:tcPr>
            <w:tcW w:type="dxa" w:w="5256"/>
            <w:shd w:fill="D9EAF7"/>
            <w:tcMar>
              <w:top w:w="80" w:type="dxa"/>
              <w:start w:w="100" w:type="dxa"/>
              <w:bottom w:w="80" w:type="dxa"/>
              <w:end w:w="100" w:type="dxa"/>
            </w:tcMar>
          </w:tcPr>
          <w:p>
            <w:r>
              <w:rPr>
                <w:b/>
                <w:sz w:val="19"/>
              </w:rPr>
              <w:t>Support Function</w:t>
            </w:r>
          </w:p>
        </w:tc>
        <w:tc>
          <w:tcPr>
            <w:tcW w:type="dxa" w:w="5256"/>
            <w:shd w:fill="D9EAF7"/>
            <w:tcMar>
              <w:top w:w="80" w:type="dxa"/>
              <w:start w:w="100" w:type="dxa"/>
              <w:bottom w:w="80" w:type="dxa"/>
              <w:end w:w="100" w:type="dxa"/>
            </w:tcMar>
          </w:tcPr>
          <w:p>
            <w:r>
              <w:rPr>
                <w:b/>
                <w:sz w:val="19"/>
              </w:rPr>
              <w:t>Description</w:t>
            </w:r>
          </w:p>
        </w:tc>
      </w:tr>
      <w:tr>
        <w:trPr>
          <w:cantSplit/>
        </w:trPr>
        <w:tc>
          <w:tcPr>
            <w:tcW w:type="dxa" w:w="5256"/>
            <w:tcMar>
              <w:top w:w="80" w:type="dxa"/>
              <w:start w:w="100" w:type="dxa"/>
              <w:bottom w:w="80" w:type="dxa"/>
              <w:end w:w="100" w:type="dxa"/>
            </w:tcMar>
          </w:tcPr>
          <w:p>
            <w:pPr>
              <w:spacing w:after="0"/>
            </w:pPr>
            <w:r>
              <w:rPr>
                <w:b/>
                <w:sz w:val="18"/>
              </w:rPr>
              <w:t>Speaker Introduction Coordinator Function</w:t>
            </w:r>
          </w:p>
        </w:tc>
        <w:tc>
          <w:tcPr>
            <w:tcW w:type="dxa" w:w="5256"/>
            <w:tcMar>
              <w:top w:w="80" w:type="dxa"/>
              <w:start w:w="100" w:type="dxa"/>
              <w:bottom w:w="80" w:type="dxa"/>
              <w:end w:w="100" w:type="dxa"/>
            </w:tcMar>
          </w:tcPr>
          <w:p>
            <w:pPr>
              <w:spacing w:after="0"/>
            </w:pPr>
            <w:r>
              <w:rPr>
                <w:sz w:val="18"/>
              </w:rPr>
              <w:t>Makes sure prepared introductions are available at the HFMA Help Desk and accessible to the assigned Speaker Introducers. This function is incorporated into conference operations rather than staffed as a separate recurring shift.</w:t>
            </w:r>
          </w:p>
        </w:tc>
      </w:tr>
      <w:tr>
        <w:trPr>
          <w:cantSplit/>
        </w:trPr>
        <w:tc>
          <w:tcPr>
            <w:tcW w:type="dxa" w:w="5256"/>
            <w:tcMar>
              <w:top w:w="80" w:type="dxa"/>
              <w:start w:w="100" w:type="dxa"/>
              <w:bottom w:w="80" w:type="dxa"/>
              <w:end w:w="100" w:type="dxa"/>
            </w:tcMar>
          </w:tcPr>
          <w:p>
            <w:pPr>
              <w:spacing w:after="0"/>
            </w:pPr>
            <w:r>
              <w:rPr>
                <w:b/>
                <w:sz w:val="18"/>
              </w:rPr>
              <w:t>Speaker Gift Coordinator Function</w:t>
            </w:r>
          </w:p>
        </w:tc>
        <w:tc>
          <w:tcPr>
            <w:tcW w:type="dxa" w:w="5256"/>
            <w:tcMar>
              <w:top w:w="80" w:type="dxa"/>
              <w:start w:w="100" w:type="dxa"/>
              <w:bottom w:w="80" w:type="dxa"/>
              <w:end w:w="100" w:type="dxa"/>
            </w:tcMar>
          </w:tcPr>
          <w:p>
            <w:pPr>
              <w:spacing w:after="0"/>
            </w:pPr>
            <w:r>
              <w:rPr>
                <w:sz w:val="18"/>
              </w:rPr>
              <w:t>Keeps speaker gifts at the HFMA Help Desk and helps make sure they reach the appropriate speakers. This function is handled through the education and Help Desk teams.</w:t>
            </w:r>
          </w:p>
        </w:tc>
      </w:tr>
    </w:tbl>
    <w:p>
      <w:pPr>
        <w:spacing w:before="160"/>
      </w:pPr>
      <w:r>
        <w:rPr>
          <w:b/>
        </w:rPr>
        <w:t xml:space="preserve">Operating rule: </w:t>
      </w:r>
      <w:r>
        <w:t>Volunteers should notify their supervisor or role lead if they need to leave before their assignment ends. Once their assignment is complete and their supervisor knows they are finished, they are free to enjoy the conference.</w:t>
      </w:r>
    </w:p>
    <w:sectPr w:rsidR="00FC693F" w:rsidRPr="0006063C" w:rsidSect="00034616">
      <w:footerReference w:type="default" r:id="rId9"/>
      <w:pgSz w:w="12240" w:h="15840"/>
      <w:pgMar w:top="792" w:right="864" w:bottom="792"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6"/>
      </w:rPr>
      <w:t>Louisiana &amp; Mississippi HFMA Summer Institute | Volunteer Roles Reference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